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F38804" w14:textId="38A33C27" w:rsidR="006516B1" w:rsidRDefault="006516B1" w:rsidP="006516B1">
      <w:pPr>
        <w:spacing w:line="480" w:lineRule="auto"/>
        <w:jc w:val="center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bookmarkStart w:id="0" w:name="_Hlk522874374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Supporting Information for</w:t>
      </w:r>
    </w:p>
    <w:bookmarkEnd w:id="0"/>
    <w:p w14:paraId="0ED32C29" w14:textId="77777777" w:rsidR="006516B1" w:rsidRPr="006516B1" w:rsidRDefault="006516B1" w:rsidP="006516B1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6516B1">
        <w:rPr>
          <w:rFonts w:ascii="Times New Roman" w:hAnsi="Times New Roman" w:cs="Times New Roman"/>
          <w:b/>
          <w:bCs/>
          <w:sz w:val="24"/>
          <w:szCs w:val="24"/>
          <w:lang w:val="en-US"/>
        </w:rPr>
        <w:t>Elevated temperature and nutrients lead to increased N</w:t>
      </w:r>
      <w:r w:rsidRPr="006516B1">
        <w:rPr>
          <w:rFonts w:ascii="Times New Roman" w:hAnsi="Times New Roman" w:cs="Times New Roman"/>
          <w:b/>
          <w:bCs/>
          <w:sz w:val="24"/>
          <w:szCs w:val="24"/>
          <w:vertAlign w:val="subscript"/>
          <w:lang w:val="en-US"/>
        </w:rPr>
        <w:t>2</w:t>
      </w:r>
      <w:r w:rsidRPr="006516B1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O emissions from salt marsh soils under cold and warm climates </w:t>
      </w:r>
    </w:p>
    <w:p w14:paraId="555B3ABB" w14:textId="77777777" w:rsidR="006516B1" w:rsidRDefault="006516B1" w:rsidP="006516B1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EC3C02">
        <w:rPr>
          <w:rFonts w:ascii="Times New Roman" w:hAnsi="Times New Roman" w:cs="Times New Roman"/>
          <w:sz w:val="24"/>
          <w:szCs w:val="24"/>
          <w:lang w:val="en-US"/>
        </w:rPr>
        <w:t>Sophie A. Comer-Warner</w:t>
      </w:r>
      <w:r w:rsidRPr="00687483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1,2</w:t>
      </w:r>
      <w:r w:rsidRPr="00EC3C02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Sami </w:t>
      </w:r>
      <w:r w:rsidRPr="00EC3C02">
        <w:rPr>
          <w:rFonts w:ascii="Times New Roman" w:hAnsi="Times New Roman" w:cs="Times New Roman"/>
          <w:sz w:val="24"/>
          <w:szCs w:val="24"/>
          <w:lang w:val="en-US"/>
        </w:rPr>
        <w:t>Ullah</w:t>
      </w:r>
      <w:r w:rsidRPr="00687483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2,3</w:t>
      </w:r>
      <w:r w:rsidRPr="00EC3C02">
        <w:rPr>
          <w:rFonts w:ascii="Times New Roman" w:hAnsi="Times New Roman" w:cs="Times New Roman"/>
          <w:sz w:val="24"/>
          <w:szCs w:val="24"/>
          <w:lang w:val="en-US"/>
        </w:rPr>
        <w:t>, Arunabha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Dey</w:t>
      </w:r>
      <w:r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EC3C02">
        <w:rPr>
          <w:rFonts w:ascii="Times New Roman" w:hAnsi="Times New Roman" w:cs="Times New Roman"/>
          <w:sz w:val="24"/>
          <w:szCs w:val="24"/>
          <w:lang w:val="en-US"/>
        </w:rPr>
        <w:t>Camille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L. Stagg</w:t>
      </w:r>
      <w:r w:rsidRPr="00687483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4</w:t>
      </w:r>
      <w:r w:rsidRPr="00EC3C02">
        <w:rPr>
          <w:rFonts w:ascii="Times New Roman" w:hAnsi="Times New Roman" w:cs="Times New Roman"/>
          <w:sz w:val="24"/>
          <w:szCs w:val="24"/>
          <w:lang w:val="en-US"/>
        </w:rPr>
        <w:t>, Tracy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Elsey-Quirk</w:t>
      </w:r>
      <w:r w:rsidRPr="0037646E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5</w:t>
      </w:r>
      <w:r w:rsidRPr="00EC3C02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8E1753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>Christopher M. Swarzenski</w:t>
      </w:r>
      <w:r w:rsidRPr="0037646E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  <w:vertAlign w:val="superscript"/>
        </w:rPr>
        <w:t>6</w:t>
      </w:r>
      <w:r w:rsidRPr="00EC3C02">
        <w:rPr>
          <w:rFonts w:ascii="Times New Roman" w:hAnsi="Times New Roman" w:cs="Times New Roman"/>
          <w:sz w:val="24"/>
          <w:szCs w:val="24"/>
          <w:lang w:val="en-US"/>
        </w:rPr>
        <w:t>, Fotis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Sgouridis</w:t>
      </w:r>
      <w:r w:rsidRPr="005C0A9F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7</w:t>
      </w:r>
      <w:r w:rsidRPr="00EC3C02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Stefan </w:t>
      </w:r>
      <w:r w:rsidRPr="00EC3C02">
        <w:rPr>
          <w:rFonts w:ascii="Times New Roman" w:hAnsi="Times New Roman" w:cs="Times New Roman"/>
          <w:sz w:val="24"/>
          <w:szCs w:val="24"/>
          <w:lang w:val="en-US"/>
        </w:rPr>
        <w:t>Krause</w:t>
      </w:r>
      <w:r w:rsidRPr="005C0A9F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2,3</w:t>
      </w:r>
      <w:r w:rsidRPr="00EC3C02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Gail L. </w:t>
      </w:r>
      <w:r w:rsidRPr="00EC3C02">
        <w:rPr>
          <w:rFonts w:ascii="Times New Roman" w:hAnsi="Times New Roman" w:cs="Times New Roman"/>
          <w:sz w:val="24"/>
          <w:szCs w:val="24"/>
          <w:lang w:val="en-US"/>
        </w:rPr>
        <w:t>Chmura</w:t>
      </w:r>
      <w:r w:rsidRPr="005C0A9F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</w:t>
      </w:r>
    </w:p>
    <w:p w14:paraId="27E90DF3" w14:textId="77777777" w:rsidR="006516B1" w:rsidRDefault="006516B1" w:rsidP="006516B1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8E1753">
        <w:rPr>
          <w:rFonts w:ascii="Times New Roman" w:hAnsi="Times New Roman" w:cs="Times New Roman"/>
          <w:b/>
          <w:bCs/>
          <w:sz w:val="24"/>
          <w:szCs w:val="24"/>
          <w:lang w:val="en-US"/>
        </w:rPr>
        <w:t>Affiliations</w:t>
      </w:r>
    </w:p>
    <w:p w14:paraId="32C8D9FA" w14:textId="77777777" w:rsidR="006516B1" w:rsidRPr="00D725E3" w:rsidRDefault="006516B1" w:rsidP="006516B1">
      <w:pPr>
        <w:pStyle w:val="ListParagraph"/>
        <w:spacing w:after="0" w:line="48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687483">
        <w:rPr>
          <w:rFonts w:ascii="Times New Roman" w:hAnsi="Times New Roman" w:cs="Times New Roman"/>
          <w:sz w:val="24"/>
          <w:szCs w:val="24"/>
          <w:lang w:val="en-US"/>
        </w:rPr>
        <w:t>1.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D725E3">
        <w:rPr>
          <w:rFonts w:ascii="Times New Roman" w:hAnsi="Times New Roman" w:cs="Times New Roman"/>
          <w:sz w:val="24"/>
          <w:szCs w:val="24"/>
          <w:shd w:val="clear" w:color="auto" w:fill="FFFFFF"/>
        </w:rPr>
        <w:t>Department of Geography, McGill University, Montreal, Quebec H3A 0B9, Canada</w:t>
      </w:r>
      <w:r w:rsidRPr="00D725E3"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</w:p>
    <w:p w14:paraId="5E5F1639" w14:textId="77777777" w:rsidR="006516B1" w:rsidRDefault="006516B1" w:rsidP="006516B1">
      <w:pPr>
        <w:pStyle w:val="ListParagraph"/>
        <w:spacing w:after="0" w:line="48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Pr="00D725E3">
        <w:rPr>
          <w:rFonts w:ascii="Times New Roman" w:hAnsi="Times New Roman" w:cs="Times New Roman"/>
          <w:sz w:val="24"/>
          <w:szCs w:val="24"/>
        </w:rPr>
        <w:t>School of Geography, Earth and Environmental Sciences, University of Birmingham, Edgbaston, Birmingham B15 2TT, UK</w:t>
      </w:r>
    </w:p>
    <w:p w14:paraId="00E470B6" w14:textId="77777777" w:rsidR="006516B1" w:rsidRDefault="006516B1" w:rsidP="006516B1">
      <w:pPr>
        <w:pStyle w:val="ListParagraph"/>
        <w:spacing w:after="0" w:line="48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Pr="000922DE">
        <w:rPr>
          <w:rFonts w:ascii="Times New Roman" w:hAnsi="Times New Roman" w:cs="Times New Roman"/>
          <w:sz w:val="24"/>
          <w:szCs w:val="24"/>
        </w:rPr>
        <w:t>Birmingham Institute of Forest Research, University of Birmingham, Edgbaston, Birmingham B15 2TT, UK</w:t>
      </w:r>
    </w:p>
    <w:p w14:paraId="56C4AE16" w14:textId="77777777" w:rsidR="006516B1" w:rsidRDefault="006516B1" w:rsidP="006516B1">
      <w:pPr>
        <w:pStyle w:val="ListParagraph"/>
        <w:spacing w:after="0" w:line="480" w:lineRule="auto"/>
        <w:ind w:left="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7646E">
        <w:rPr>
          <w:rFonts w:ascii="Times New Roman" w:hAnsi="Times New Roman" w:cs="Times New Roman"/>
          <w:sz w:val="24"/>
          <w:szCs w:val="24"/>
        </w:rPr>
        <w:t xml:space="preserve">4. </w:t>
      </w:r>
      <w:r w:rsidRPr="0037646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U.S. Geological Survey, Wetland and Aquatic Research </w:t>
      </w:r>
      <w:proofErr w:type="spellStart"/>
      <w:r w:rsidRPr="0037646E">
        <w:rPr>
          <w:rFonts w:ascii="Times New Roman" w:hAnsi="Times New Roman" w:cs="Times New Roman"/>
          <w:sz w:val="24"/>
          <w:szCs w:val="24"/>
          <w:shd w:val="clear" w:color="auto" w:fill="FFFFFF"/>
        </w:rPr>
        <w:t>Center</w:t>
      </w:r>
      <w:proofErr w:type="spellEnd"/>
      <w:r w:rsidRPr="0037646E">
        <w:rPr>
          <w:rFonts w:ascii="Times New Roman" w:hAnsi="Times New Roman" w:cs="Times New Roman"/>
          <w:sz w:val="24"/>
          <w:szCs w:val="24"/>
          <w:shd w:val="clear" w:color="auto" w:fill="FFFFFF"/>
        </w:rPr>
        <w:t>, Lafayette, LA, USA</w:t>
      </w:r>
    </w:p>
    <w:p w14:paraId="52577622" w14:textId="77777777" w:rsidR="006516B1" w:rsidRDefault="006516B1" w:rsidP="006516B1">
      <w:pPr>
        <w:pStyle w:val="ListParagraph"/>
        <w:spacing w:after="0" w:line="480" w:lineRule="auto"/>
        <w:ind w:left="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5. Department of Oceanography and Coastal Sciences, Louisiana State University, Baton Rouge, LA, 70803, USA</w:t>
      </w:r>
    </w:p>
    <w:p w14:paraId="005BCA20" w14:textId="77777777" w:rsidR="006516B1" w:rsidRDefault="006516B1" w:rsidP="006516B1">
      <w:pPr>
        <w:pStyle w:val="ListParagraph"/>
        <w:spacing w:after="0" w:line="480" w:lineRule="auto"/>
        <w:ind w:left="0"/>
        <w:rPr>
          <w:rFonts w:ascii="Times New Roman" w:eastAsia="Times New Roman" w:hAnsi="Times New Roman" w:cs="Times New Roman"/>
          <w:color w:val="333333"/>
          <w:sz w:val="24"/>
          <w:szCs w:val="24"/>
          <w:lang w:eastAsia="en-GB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6. </w:t>
      </w:r>
      <w:r w:rsidRPr="00DF79EE">
        <w:rPr>
          <w:rFonts w:ascii="Times New Roman" w:eastAsia="Times New Roman" w:hAnsi="Times New Roman" w:cs="Times New Roman"/>
          <w:color w:val="333333"/>
          <w:sz w:val="24"/>
          <w:szCs w:val="24"/>
          <w:lang w:eastAsia="en-GB"/>
        </w:rPr>
        <w:t>U.S. Geological Survey,</w:t>
      </w:r>
      <w:r w:rsidRPr="00DF79EE" w:rsidDel="00153442">
        <w:rPr>
          <w:rFonts w:ascii="Times New Roman" w:eastAsia="Times New Roman" w:hAnsi="Times New Roman" w:cs="Times New Roman"/>
          <w:color w:val="333333"/>
          <w:sz w:val="24"/>
          <w:szCs w:val="24"/>
          <w:lang w:eastAsia="en-GB"/>
        </w:rPr>
        <w:t xml:space="preserve">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en-GB"/>
        </w:rPr>
        <w:t>retired</w:t>
      </w:r>
    </w:p>
    <w:p w14:paraId="45195ADB" w14:textId="5E01EE1A" w:rsidR="00C16BCE" w:rsidRDefault="006516B1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6034B7">
        <w:rPr>
          <w:rFonts w:ascii="Times New Roman" w:hAnsi="Times New Roman" w:cs="Times New Roman"/>
          <w:sz w:val="24"/>
          <w:szCs w:val="24"/>
          <w:lang w:val="en-US"/>
        </w:rPr>
        <w:t>7.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School of Geographical Sciences, University of Bristol, Bristol BS8 1SS, UK</w:t>
      </w:r>
    </w:p>
    <w:p w14:paraId="00AEBD74" w14:textId="77777777" w:rsidR="009B771F" w:rsidRDefault="009B771F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575D1601" w14:textId="6EE575C1" w:rsidR="00CB1904" w:rsidRPr="00CB1904" w:rsidRDefault="00CB1904" w:rsidP="00CB1904">
      <w:pPr>
        <w:rPr>
          <w:rFonts w:ascii="Times New Roman" w:hAnsi="Times New Roman" w:cs="Times New Roman"/>
          <w:sz w:val="24"/>
          <w:szCs w:val="24"/>
        </w:rPr>
      </w:pPr>
      <w:r w:rsidRPr="00CB1904">
        <w:rPr>
          <w:rFonts w:ascii="Times New Roman" w:hAnsi="Times New Roman" w:cs="Times New Roman"/>
          <w:sz w:val="24"/>
          <w:szCs w:val="24"/>
        </w:rPr>
        <w:t>Table S1. Results of the Wilcoxon signed rank test to test whether differences in fluxes between ambient and elevated treatments were significant at each site. Significant differences were tested at a 95% confidence level.</w:t>
      </w:r>
      <w:r w:rsidR="00372F23">
        <w:rPr>
          <w:rFonts w:ascii="Times New Roman" w:hAnsi="Times New Roman" w:cs="Times New Roman"/>
          <w:sz w:val="24"/>
          <w:szCs w:val="24"/>
        </w:rPr>
        <w:t xml:space="preserve"> </w:t>
      </w:r>
      <w:r w:rsidR="00372F23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DNT = denitrification, NIT = nitrification.</w:t>
      </w:r>
    </w:p>
    <w:p w14:paraId="77030690" w14:textId="3F24A1F4" w:rsidR="009B771F" w:rsidRDefault="006F3D54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anchor distT="0" distB="0" distL="114300" distR="114300" simplePos="0" relativeHeight="251660288" behindDoc="0" locked="0" layoutInCell="1" allowOverlap="1" wp14:anchorId="35C0D1EB" wp14:editId="18DF4E79">
            <wp:simplePos x="0" y="0"/>
            <wp:positionH relativeFrom="margin">
              <wp:align>center</wp:align>
            </wp:positionH>
            <wp:positionV relativeFrom="paragraph">
              <wp:posOffset>55294</wp:posOffset>
            </wp:positionV>
            <wp:extent cx="3726180" cy="1835785"/>
            <wp:effectExtent l="0" t="0" r="7620" b="0"/>
            <wp:wrapSquare wrapText="bothSides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6180" cy="18357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0170C75" w14:textId="5EFA3087" w:rsidR="009B771F" w:rsidRDefault="009B771F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42871D6D" w14:textId="77777777" w:rsidR="009B771F" w:rsidRDefault="009B771F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6B25C1B1" w14:textId="77777777" w:rsidR="00E342A2" w:rsidRDefault="00E342A2" w:rsidP="00E342A2">
      <w:pPr>
        <w:rPr>
          <w:rFonts w:ascii="Times New Roman" w:hAnsi="Times New Roman" w:cs="Times New Roman"/>
          <w:sz w:val="24"/>
          <w:szCs w:val="24"/>
        </w:rPr>
      </w:pPr>
    </w:p>
    <w:p w14:paraId="50CCF3B9" w14:textId="77777777" w:rsidR="00E342A2" w:rsidRDefault="00E342A2" w:rsidP="00E342A2">
      <w:pPr>
        <w:rPr>
          <w:rFonts w:ascii="Times New Roman" w:hAnsi="Times New Roman" w:cs="Times New Roman"/>
          <w:sz w:val="24"/>
          <w:szCs w:val="24"/>
        </w:rPr>
      </w:pPr>
    </w:p>
    <w:p w14:paraId="0BECF02A" w14:textId="77777777" w:rsidR="00E342A2" w:rsidRDefault="00E342A2" w:rsidP="00E342A2">
      <w:pPr>
        <w:rPr>
          <w:rFonts w:ascii="Times New Roman" w:hAnsi="Times New Roman" w:cs="Times New Roman"/>
          <w:sz w:val="24"/>
          <w:szCs w:val="24"/>
        </w:rPr>
      </w:pPr>
    </w:p>
    <w:p w14:paraId="1D888DA2" w14:textId="77777777" w:rsidR="00E342A2" w:rsidRDefault="00E342A2" w:rsidP="00E342A2">
      <w:pPr>
        <w:rPr>
          <w:rFonts w:ascii="Times New Roman" w:hAnsi="Times New Roman" w:cs="Times New Roman"/>
          <w:sz w:val="24"/>
          <w:szCs w:val="24"/>
        </w:rPr>
      </w:pPr>
    </w:p>
    <w:p w14:paraId="2C1E5F36" w14:textId="77777777" w:rsidR="00E342A2" w:rsidRDefault="00E342A2" w:rsidP="00E342A2">
      <w:pPr>
        <w:rPr>
          <w:rFonts w:ascii="Times New Roman" w:hAnsi="Times New Roman" w:cs="Times New Roman"/>
          <w:sz w:val="24"/>
          <w:szCs w:val="24"/>
        </w:rPr>
      </w:pPr>
    </w:p>
    <w:p w14:paraId="7BAC4BD5" w14:textId="6271EEC5" w:rsidR="00E342A2" w:rsidRDefault="00E342A2" w:rsidP="00E342A2">
      <w:pPr>
        <w:rPr>
          <w:rFonts w:ascii="Times New Roman" w:hAnsi="Times New Roman" w:cs="Times New Roman"/>
          <w:sz w:val="24"/>
          <w:szCs w:val="24"/>
        </w:rPr>
      </w:pPr>
      <w:r w:rsidRPr="00E342A2">
        <w:rPr>
          <w:rFonts w:ascii="Times New Roman" w:hAnsi="Times New Roman" w:cs="Times New Roman"/>
          <w:sz w:val="24"/>
          <w:szCs w:val="24"/>
        </w:rPr>
        <w:t xml:space="preserve">Table S2. Results of the Kruskal-Wallis with post-hoc Dunn test to assess whether differences in fluxes between sites (i.e. climatic region and vegetation type) were significant. </w:t>
      </w:r>
      <w:r w:rsidRPr="00E342A2">
        <w:rPr>
          <w:rFonts w:ascii="Times New Roman" w:hAnsi="Times New Roman" w:cs="Times New Roman"/>
          <w:sz w:val="24"/>
          <w:szCs w:val="24"/>
        </w:rPr>
        <w:lastRenderedPageBreak/>
        <w:t>Significant differences were tested at a 95% confidence level.</w:t>
      </w:r>
      <w:r w:rsidR="00372F23">
        <w:rPr>
          <w:rFonts w:ascii="Times New Roman" w:hAnsi="Times New Roman" w:cs="Times New Roman"/>
          <w:sz w:val="24"/>
          <w:szCs w:val="24"/>
        </w:rPr>
        <w:t xml:space="preserve"> </w:t>
      </w:r>
      <w:r w:rsidR="00372F23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DNT = denitrification and NIT = nitrification.</w:t>
      </w:r>
    </w:p>
    <w:p w14:paraId="18ED5382" w14:textId="7E15BB06" w:rsidR="0055100E" w:rsidRPr="00E342A2" w:rsidRDefault="00E9482E" w:rsidP="00E342A2">
      <w:pPr>
        <w:rPr>
          <w:rFonts w:ascii="Times New Roman" w:hAnsi="Times New Roman" w:cs="Times New Roman"/>
          <w:sz w:val="24"/>
          <w:szCs w:val="24"/>
        </w:rPr>
      </w:pPr>
      <w:r w:rsidRPr="00E9482E">
        <w:rPr>
          <w:noProof/>
        </w:rPr>
        <w:drawing>
          <wp:inline distT="0" distB="0" distL="0" distR="0" wp14:anchorId="7B674552" wp14:editId="64731287">
            <wp:extent cx="5731510" cy="3063240"/>
            <wp:effectExtent l="0" t="0" r="2540" b="381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063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184745" w14:textId="4B84EDCD" w:rsidR="006516B1" w:rsidRDefault="006516B1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anchor distT="0" distB="0" distL="114300" distR="114300" simplePos="0" relativeHeight="251658240" behindDoc="1" locked="0" layoutInCell="1" allowOverlap="1" wp14:anchorId="7D9BAEFA" wp14:editId="392DD90F">
            <wp:simplePos x="0" y="0"/>
            <wp:positionH relativeFrom="page">
              <wp:posOffset>498475</wp:posOffset>
            </wp:positionH>
            <wp:positionV relativeFrom="paragraph">
              <wp:posOffset>207645</wp:posOffset>
            </wp:positionV>
            <wp:extent cx="6750975" cy="1917147"/>
            <wp:effectExtent l="0" t="0" r="0" b="6985"/>
            <wp:wrapTight wrapText="bothSides">
              <wp:wrapPolygon edited="0">
                <wp:start x="0" y="0"/>
                <wp:lineTo x="0" y="19747"/>
                <wp:lineTo x="244" y="20605"/>
                <wp:lineTo x="1036" y="20605"/>
                <wp:lineTo x="1036" y="21464"/>
                <wp:lineTo x="21517" y="21464"/>
                <wp:lineTo x="21517" y="18888"/>
                <wp:lineTo x="21456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50975" cy="191714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9B24ED1" w14:textId="48E521CB" w:rsidR="006516B1" w:rsidRDefault="006516B1" w:rsidP="006516B1">
      <w:pPr>
        <w:rPr>
          <w:rFonts w:ascii="Times New Roman" w:hAnsi="Times New Roman" w:cs="Times New Roman"/>
          <w:sz w:val="24"/>
          <w:szCs w:val="24"/>
        </w:rPr>
      </w:pPr>
      <w:r w:rsidRPr="006516B1">
        <w:rPr>
          <w:rFonts w:ascii="Times New Roman" w:hAnsi="Times New Roman" w:cs="Times New Roman"/>
          <w:sz w:val="24"/>
          <w:szCs w:val="24"/>
          <w:lang w:val="en-US"/>
        </w:rPr>
        <w:t xml:space="preserve">Figure S1. </w:t>
      </w:r>
      <w:r w:rsidRPr="006516B1">
        <w:rPr>
          <w:rFonts w:ascii="Times New Roman" w:hAnsi="Times New Roman" w:cs="Times New Roman"/>
          <w:sz w:val="24"/>
          <w:szCs w:val="24"/>
        </w:rPr>
        <w:t>Potential rates of CH</w:t>
      </w:r>
      <w:r w:rsidRPr="006516B1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6516B1">
        <w:rPr>
          <w:rFonts w:ascii="Times New Roman" w:hAnsi="Times New Roman" w:cs="Times New Roman"/>
          <w:sz w:val="24"/>
          <w:szCs w:val="24"/>
        </w:rPr>
        <w:t xml:space="preserve"> and CO</w:t>
      </w:r>
      <w:r w:rsidRPr="006516B1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6516B1">
        <w:rPr>
          <w:rFonts w:ascii="Times New Roman" w:hAnsi="Times New Roman" w:cs="Times New Roman"/>
          <w:sz w:val="24"/>
          <w:szCs w:val="24"/>
        </w:rPr>
        <w:t xml:space="preserve"> fluxes in </w:t>
      </w:r>
      <w:r w:rsidRPr="006516B1">
        <w:rPr>
          <w:rFonts w:ascii="Symbol" w:hAnsi="Symbol" w:cs="Times New Roman"/>
          <w:sz w:val="24"/>
          <w:szCs w:val="24"/>
        </w:rPr>
        <w:t>m</w:t>
      </w:r>
      <w:r w:rsidRPr="006516B1">
        <w:rPr>
          <w:rFonts w:ascii="Times New Roman" w:hAnsi="Times New Roman" w:cs="Times New Roman"/>
          <w:sz w:val="24"/>
          <w:szCs w:val="24"/>
        </w:rPr>
        <w:t>g C g dry soil</w:t>
      </w:r>
      <w:r w:rsidRPr="006516B1">
        <w:rPr>
          <w:rFonts w:ascii="Times New Roman" w:hAnsi="Times New Roman" w:cs="Times New Roman"/>
          <w:sz w:val="24"/>
          <w:szCs w:val="24"/>
          <w:vertAlign w:val="superscript"/>
        </w:rPr>
        <w:t>-1</w:t>
      </w:r>
      <w:r w:rsidRPr="006516B1">
        <w:rPr>
          <w:rFonts w:ascii="Times New Roman" w:hAnsi="Times New Roman" w:cs="Times New Roman"/>
          <w:sz w:val="24"/>
          <w:szCs w:val="24"/>
        </w:rPr>
        <w:t xml:space="preserve"> hr</w:t>
      </w:r>
      <w:r w:rsidRPr="006516B1">
        <w:rPr>
          <w:rFonts w:ascii="Times New Roman" w:hAnsi="Times New Roman" w:cs="Times New Roman"/>
          <w:sz w:val="24"/>
          <w:szCs w:val="24"/>
          <w:vertAlign w:val="superscript"/>
        </w:rPr>
        <w:t>-1</w:t>
      </w:r>
      <w:r w:rsidRPr="006516B1">
        <w:rPr>
          <w:rFonts w:ascii="Times New Roman" w:hAnsi="Times New Roman" w:cs="Times New Roman"/>
          <w:sz w:val="24"/>
          <w:szCs w:val="24"/>
        </w:rPr>
        <w:t xml:space="preserve"> across the four salt marsh sites (Louisiana </w:t>
      </w:r>
      <w:r w:rsidRPr="006516B1">
        <w:rPr>
          <w:rFonts w:ascii="Times New Roman" w:hAnsi="Times New Roman" w:cs="Times New Roman"/>
          <w:i/>
          <w:iCs/>
          <w:sz w:val="24"/>
          <w:szCs w:val="24"/>
        </w:rPr>
        <w:t xml:space="preserve">S. </w:t>
      </w:r>
      <w:proofErr w:type="spellStart"/>
      <w:r w:rsidRPr="006516B1">
        <w:rPr>
          <w:rFonts w:ascii="Times New Roman" w:hAnsi="Times New Roman" w:cs="Times New Roman"/>
          <w:i/>
          <w:iCs/>
          <w:sz w:val="24"/>
          <w:szCs w:val="24"/>
        </w:rPr>
        <w:t>alterniflorus</w:t>
      </w:r>
      <w:proofErr w:type="spellEnd"/>
      <w:r w:rsidRPr="006516B1">
        <w:rPr>
          <w:rFonts w:ascii="Times New Roman" w:hAnsi="Times New Roman" w:cs="Times New Roman"/>
          <w:sz w:val="24"/>
          <w:szCs w:val="24"/>
        </w:rPr>
        <w:t xml:space="preserve">, Louisiana </w:t>
      </w:r>
      <w:r w:rsidRPr="006516B1">
        <w:rPr>
          <w:rFonts w:ascii="Times New Roman" w:hAnsi="Times New Roman" w:cs="Times New Roman"/>
          <w:i/>
          <w:iCs/>
          <w:sz w:val="24"/>
          <w:szCs w:val="24"/>
        </w:rPr>
        <w:t xml:space="preserve">S. </w:t>
      </w:r>
      <w:proofErr w:type="spellStart"/>
      <w:r w:rsidRPr="006516B1">
        <w:rPr>
          <w:rFonts w:ascii="Times New Roman" w:hAnsi="Times New Roman" w:cs="Times New Roman"/>
          <w:i/>
          <w:iCs/>
          <w:sz w:val="24"/>
          <w:szCs w:val="24"/>
          <w:lang w:val="en-US"/>
        </w:rPr>
        <w:t>pumilus</w:t>
      </w:r>
      <w:proofErr w:type="spellEnd"/>
      <w:r w:rsidRPr="006516B1">
        <w:rPr>
          <w:rFonts w:ascii="Times New Roman" w:hAnsi="Times New Roman" w:cs="Times New Roman"/>
          <w:sz w:val="24"/>
          <w:szCs w:val="24"/>
        </w:rPr>
        <w:t xml:space="preserve">, Quebec </w:t>
      </w:r>
      <w:r w:rsidRPr="006516B1">
        <w:rPr>
          <w:rFonts w:ascii="Times New Roman" w:hAnsi="Times New Roman" w:cs="Times New Roman"/>
          <w:i/>
          <w:iCs/>
          <w:sz w:val="24"/>
          <w:szCs w:val="24"/>
        </w:rPr>
        <w:t xml:space="preserve">S. </w:t>
      </w:r>
      <w:proofErr w:type="spellStart"/>
      <w:r w:rsidRPr="006516B1">
        <w:rPr>
          <w:rFonts w:ascii="Times New Roman" w:hAnsi="Times New Roman" w:cs="Times New Roman"/>
          <w:i/>
          <w:iCs/>
          <w:sz w:val="24"/>
          <w:szCs w:val="24"/>
        </w:rPr>
        <w:t>alterniflorus</w:t>
      </w:r>
      <w:proofErr w:type="spellEnd"/>
      <w:r w:rsidRPr="006516B1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6516B1">
        <w:rPr>
          <w:rFonts w:ascii="Times New Roman" w:hAnsi="Times New Roman" w:cs="Times New Roman"/>
          <w:sz w:val="24"/>
          <w:szCs w:val="24"/>
        </w:rPr>
        <w:t xml:space="preserve">and Quebec </w:t>
      </w:r>
      <w:r w:rsidRPr="006516B1">
        <w:rPr>
          <w:rFonts w:ascii="Times New Roman" w:hAnsi="Times New Roman" w:cs="Times New Roman"/>
          <w:i/>
          <w:iCs/>
          <w:sz w:val="24"/>
          <w:szCs w:val="24"/>
        </w:rPr>
        <w:t xml:space="preserve">S. </w:t>
      </w:r>
      <w:proofErr w:type="spellStart"/>
      <w:r w:rsidRPr="006516B1">
        <w:rPr>
          <w:rFonts w:ascii="Times New Roman" w:hAnsi="Times New Roman" w:cs="Times New Roman"/>
          <w:i/>
          <w:iCs/>
          <w:sz w:val="24"/>
          <w:szCs w:val="24"/>
          <w:lang w:val="en-US"/>
        </w:rPr>
        <w:t>pumilus</w:t>
      </w:r>
      <w:proofErr w:type="spellEnd"/>
      <w:r w:rsidRPr="006516B1">
        <w:rPr>
          <w:rFonts w:ascii="Times New Roman" w:hAnsi="Times New Roman" w:cs="Times New Roman"/>
          <w:sz w:val="24"/>
          <w:szCs w:val="24"/>
        </w:rPr>
        <w:t>) under ambient (</w:t>
      </w:r>
      <w:proofErr w:type="spellStart"/>
      <w:r w:rsidR="000D4BAC">
        <w:rPr>
          <w:rFonts w:ascii="Times New Roman" w:hAnsi="Times New Roman" w:cs="Times New Roman"/>
          <w:sz w:val="24"/>
          <w:szCs w:val="24"/>
        </w:rPr>
        <w:t>amb</w:t>
      </w:r>
      <w:proofErr w:type="spellEnd"/>
      <w:r w:rsidR="000D4BAC">
        <w:rPr>
          <w:rFonts w:ascii="Times New Roman" w:hAnsi="Times New Roman" w:cs="Times New Roman"/>
          <w:sz w:val="24"/>
          <w:szCs w:val="24"/>
        </w:rPr>
        <w:t xml:space="preserve">., </w:t>
      </w:r>
      <w:r w:rsidRPr="006516B1">
        <w:rPr>
          <w:rFonts w:ascii="Times New Roman" w:hAnsi="Times New Roman" w:cs="Times New Roman"/>
          <w:sz w:val="24"/>
          <w:szCs w:val="24"/>
        </w:rPr>
        <w:t>in-situ soil temperature and nutrient concentration) and elevated (</w:t>
      </w:r>
      <w:r w:rsidR="000D4BAC">
        <w:rPr>
          <w:rFonts w:ascii="Times New Roman" w:hAnsi="Times New Roman" w:cs="Times New Roman"/>
          <w:sz w:val="24"/>
          <w:szCs w:val="24"/>
        </w:rPr>
        <w:t xml:space="preserve">elev., </w:t>
      </w:r>
      <w:r w:rsidRPr="006516B1">
        <w:rPr>
          <w:rFonts w:ascii="Times New Roman" w:hAnsi="Times New Roman" w:cs="Times New Roman"/>
          <w:sz w:val="24"/>
          <w:szCs w:val="24"/>
        </w:rPr>
        <w:t>soil temperature + 5</w:t>
      </w:r>
      <w:r>
        <w:rPr>
          <w:rFonts w:ascii="Times New Roman" w:hAnsi="Times New Roman" w:cs="Times New Roman"/>
          <w:sz w:val="24"/>
          <w:szCs w:val="24"/>
        </w:rPr>
        <w:t xml:space="preserve"> ℃</w:t>
      </w:r>
      <w:r w:rsidRPr="006516B1">
        <w:rPr>
          <w:rFonts w:ascii="Times New Roman" w:hAnsi="Times New Roman" w:cs="Times New Roman"/>
          <w:sz w:val="24"/>
          <w:szCs w:val="24"/>
        </w:rPr>
        <w:t>, double nutrient concentration) treatments.</w:t>
      </w:r>
      <w:r w:rsidR="000D4BAC">
        <w:rPr>
          <w:rFonts w:ascii="Times New Roman" w:hAnsi="Times New Roman" w:cs="Times New Roman"/>
          <w:sz w:val="24"/>
          <w:szCs w:val="24"/>
        </w:rPr>
        <w:t xml:space="preserve"> N = 5 and all error bars represent 1 standard deviation, significant differences between fluxes are indicated by different letters.</w:t>
      </w:r>
    </w:p>
    <w:p w14:paraId="7E05F4C4" w14:textId="254EFA47" w:rsidR="006516B1" w:rsidRDefault="006516B1" w:rsidP="006516B1">
      <w:pPr>
        <w:rPr>
          <w:rFonts w:ascii="Times New Roman" w:hAnsi="Times New Roman" w:cs="Times New Roman"/>
          <w:sz w:val="24"/>
          <w:szCs w:val="24"/>
        </w:rPr>
      </w:pPr>
    </w:p>
    <w:p w14:paraId="61E43987" w14:textId="0B7FD1AE" w:rsidR="006516B1" w:rsidRDefault="006516B1" w:rsidP="006516B1">
      <w:pPr>
        <w:rPr>
          <w:rFonts w:ascii="Times New Roman" w:hAnsi="Times New Roman" w:cs="Times New Roman"/>
          <w:sz w:val="24"/>
          <w:szCs w:val="24"/>
        </w:rPr>
      </w:pPr>
    </w:p>
    <w:p w14:paraId="52B6639D" w14:textId="558D309D" w:rsidR="006516B1" w:rsidRDefault="006516B1" w:rsidP="006516B1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248EECC0" w14:textId="5E12F396" w:rsidR="006516B1" w:rsidRDefault="006516B1" w:rsidP="006516B1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6F9DCC13" w14:textId="2F6D5FC0" w:rsidR="006516B1" w:rsidRDefault="006516B1" w:rsidP="006516B1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419973BD" w14:textId="3935CFDD" w:rsidR="006516B1" w:rsidRDefault="006516B1" w:rsidP="006516B1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lastRenderedPageBreak/>
        <w:drawing>
          <wp:anchor distT="0" distB="0" distL="114300" distR="114300" simplePos="0" relativeHeight="251659264" behindDoc="1" locked="0" layoutInCell="1" allowOverlap="1" wp14:anchorId="1F716D88" wp14:editId="4F414E94">
            <wp:simplePos x="0" y="0"/>
            <wp:positionH relativeFrom="margin">
              <wp:align>left</wp:align>
            </wp:positionH>
            <wp:positionV relativeFrom="paragraph">
              <wp:posOffset>181</wp:posOffset>
            </wp:positionV>
            <wp:extent cx="5303520" cy="4852035"/>
            <wp:effectExtent l="0" t="0" r="0" b="5715"/>
            <wp:wrapSquare wrapText="bothSides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1114" cy="486861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DB1AAAA" w14:textId="77777777" w:rsidR="006516B1" w:rsidRDefault="006516B1" w:rsidP="006516B1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08BE87A1" w14:textId="77777777" w:rsidR="006516B1" w:rsidRDefault="006516B1" w:rsidP="006516B1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2FCB5408" w14:textId="4EE819E2" w:rsidR="006516B1" w:rsidRDefault="006516B1" w:rsidP="006516B1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53EE69FB" w14:textId="77777777" w:rsidR="006516B1" w:rsidRDefault="006516B1" w:rsidP="006516B1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3D0FA957" w14:textId="213D1E86" w:rsidR="006516B1" w:rsidRDefault="006516B1" w:rsidP="006516B1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631A1127" w14:textId="6D08F81E" w:rsidR="006516B1" w:rsidRDefault="006516B1" w:rsidP="006516B1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7858B294" w14:textId="77777777" w:rsidR="006516B1" w:rsidRDefault="006516B1" w:rsidP="006516B1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774A901D" w14:textId="77777777" w:rsidR="006516B1" w:rsidRDefault="006516B1" w:rsidP="006516B1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26FFC7D3" w14:textId="44D5BB8D" w:rsidR="006516B1" w:rsidRDefault="006516B1" w:rsidP="006516B1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01824534" w14:textId="6511C466" w:rsidR="006516B1" w:rsidRDefault="006516B1" w:rsidP="006516B1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4168B4DC" w14:textId="377D8E8D" w:rsidR="006516B1" w:rsidRPr="006516B1" w:rsidRDefault="006516B1" w:rsidP="006516B1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6516B1">
        <w:rPr>
          <w:rFonts w:ascii="Times New Roman" w:hAnsi="Times New Roman" w:cs="Times New Roman"/>
          <w:sz w:val="24"/>
          <w:szCs w:val="24"/>
          <w:lang w:val="en-US"/>
        </w:rPr>
        <w:t>Figure S</w:t>
      </w:r>
      <w:r w:rsidR="007F7C4E">
        <w:rPr>
          <w:rFonts w:ascii="Times New Roman" w:hAnsi="Times New Roman" w:cs="Times New Roman"/>
          <w:sz w:val="24"/>
          <w:szCs w:val="24"/>
          <w:lang w:val="en-US"/>
        </w:rPr>
        <w:t>2</w:t>
      </w:r>
      <w:r w:rsidRPr="006516B1">
        <w:rPr>
          <w:rFonts w:ascii="Times New Roman" w:hAnsi="Times New Roman" w:cs="Times New Roman"/>
          <w:sz w:val="24"/>
          <w:szCs w:val="24"/>
          <w:lang w:val="en-US"/>
        </w:rPr>
        <w:t>. Spearman’s R correlations between environmental parameters and potential biogeochemical reaction rates. Positive correlations are shown in blue and negative correlations are shown in red with larger and darker circles representing stronger correlations.</w:t>
      </w:r>
      <w:r w:rsidR="00372F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72F23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Variable abbreviations are: DOC – dissolved organic carbon, TDN – total dissolved nitrogen, SRP – soluble reactive phosphate, TC – total carbon</w:t>
      </w:r>
      <w:r w:rsidR="003D3BA3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, </w:t>
      </w:r>
      <w:r w:rsidR="00372F23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TN – total nitrogen</w:t>
      </w:r>
      <w:r w:rsidR="003D3BA3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, </w:t>
      </w:r>
      <w:proofErr w:type="spellStart"/>
      <w:r w:rsidR="003D3BA3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amb</w:t>
      </w:r>
      <w:proofErr w:type="spellEnd"/>
      <w:r w:rsidR="003D3BA3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. – ambient treatment, elev. – elevated treatment, DNT – denitrification, NIT – nitrification.</w:t>
      </w:r>
    </w:p>
    <w:p w14:paraId="428CB518" w14:textId="77777777" w:rsidR="006516B1" w:rsidRPr="006516B1" w:rsidRDefault="006516B1" w:rsidP="006516B1">
      <w:pPr>
        <w:rPr>
          <w:rFonts w:ascii="Times New Roman" w:hAnsi="Times New Roman" w:cs="Times New Roman"/>
          <w:sz w:val="24"/>
          <w:szCs w:val="24"/>
        </w:rPr>
      </w:pPr>
    </w:p>
    <w:p w14:paraId="25DED060" w14:textId="77777777" w:rsidR="006516B1" w:rsidRPr="006516B1" w:rsidRDefault="006516B1" w:rsidP="006516B1">
      <w:pPr>
        <w:rPr>
          <w:rFonts w:ascii="Times New Roman" w:hAnsi="Times New Roman" w:cs="Times New Roman"/>
          <w:sz w:val="24"/>
          <w:szCs w:val="24"/>
        </w:rPr>
      </w:pPr>
    </w:p>
    <w:p w14:paraId="4454B2F4" w14:textId="77777777" w:rsidR="007F7C4E" w:rsidRDefault="007F7C4E" w:rsidP="007F7C4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4C9BF129" wp14:editId="157F7D47">
            <wp:extent cx="5597015" cy="3016250"/>
            <wp:effectExtent l="0" t="0" r="381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8097" cy="302761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0620D11" w14:textId="77777777" w:rsidR="007F7C4E" w:rsidRDefault="007F7C4E" w:rsidP="007F7C4E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6516B1">
        <w:rPr>
          <w:rFonts w:ascii="Times New Roman" w:hAnsi="Times New Roman" w:cs="Times New Roman"/>
          <w:sz w:val="24"/>
          <w:szCs w:val="24"/>
          <w:lang w:val="en-US"/>
        </w:rPr>
        <w:t>Figure S</w:t>
      </w:r>
      <w:r>
        <w:rPr>
          <w:rFonts w:ascii="Times New Roman" w:hAnsi="Times New Roman" w:cs="Times New Roman"/>
          <w:sz w:val="24"/>
          <w:szCs w:val="24"/>
          <w:lang w:val="en-US"/>
        </w:rPr>
        <w:t>3</w:t>
      </w:r>
      <w:r w:rsidRPr="006516B1">
        <w:rPr>
          <w:rFonts w:ascii="Times New Roman" w:hAnsi="Times New Roman" w:cs="Times New Roman"/>
          <w:sz w:val="24"/>
          <w:szCs w:val="24"/>
          <w:lang w:val="en-US"/>
        </w:rPr>
        <w:t>. Bivariate plots of potential total denitrification versus potential denitrification-derived N</w:t>
      </w:r>
      <w:r w:rsidRPr="006516B1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6516B1">
        <w:rPr>
          <w:rFonts w:ascii="Times New Roman" w:hAnsi="Times New Roman" w:cs="Times New Roman"/>
          <w:sz w:val="24"/>
          <w:szCs w:val="24"/>
          <w:lang w:val="en-US"/>
        </w:rPr>
        <w:t>O and potential denitrification-derived N</w:t>
      </w:r>
      <w:r w:rsidRPr="006516B1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6516B1">
        <w:rPr>
          <w:rFonts w:ascii="Times New Roman" w:hAnsi="Times New Roman" w:cs="Times New Roman"/>
          <w:sz w:val="24"/>
          <w:szCs w:val="24"/>
          <w:lang w:val="en-US"/>
        </w:rPr>
        <w:t xml:space="preserve"> under ambient and elevated treatments.</w:t>
      </w:r>
    </w:p>
    <w:p w14:paraId="7BA78DF2" w14:textId="2B69DA66" w:rsidR="006516B1" w:rsidRPr="006516B1" w:rsidRDefault="006516B1">
      <w:pPr>
        <w:rPr>
          <w:rFonts w:ascii="Times New Roman" w:hAnsi="Times New Roman" w:cs="Times New Roman"/>
          <w:sz w:val="24"/>
          <w:szCs w:val="24"/>
          <w:lang w:val="en-US"/>
        </w:rPr>
      </w:pPr>
    </w:p>
    <w:sectPr w:rsidR="006516B1" w:rsidRPr="006516B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16B1"/>
    <w:rsid w:val="000D4BAC"/>
    <w:rsid w:val="00372F23"/>
    <w:rsid w:val="003D3BA3"/>
    <w:rsid w:val="0055100E"/>
    <w:rsid w:val="006516B1"/>
    <w:rsid w:val="006F3D54"/>
    <w:rsid w:val="007F7C4E"/>
    <w:rsid w:val="009B771F"/>
    <w:rsid w:val="00C16BCE"/>
    <w:rsid w:val="00CB1904"/>
    <w:rsid w:val="00E342A2"/>
    <w:rsid w:val="00E9482E"/>
    <w:rsid w:val="00F676F9"/>
    <w:rsid w:val="00F94A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32B1F3"/>
  <w15:chartTrackingRefBased/>
  <w15:docId w15:val="{2F48612E-540E-42F6-80FE-A54E68926D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516B1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516B1"/>
    <w:pPr>
      <w:spacing w:line="259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4271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99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66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5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emf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4</Pages>
  <Words>410</Words>
  <Characters>2341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Birmingham</Company>
  <LinksUpToDate>false</LinksUpToDate>
  <CharactersWithSpaces>2746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Sophie Comer-Warner (Life Sciences Campus)</dc:creator>
  <cp:keywords/>
  <dc:description/>
  <cp:lastModifiedBy>Sophie Comer-Warner (Life Sciences Campus)</cp:lastModifiedBy>
  <cp:revision>12</cp:revision>
  <dcterms:created xsi:type="dcterms:W3CDTF">2023-08-02T19:02:00Z</dcterms:created>
  <dcterms:modified xsi:type="dcterms:W3CDTF">2023-08-25T19:52:00Z</dcterms:modified>
</cp:coreProperties>
</file>