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E7E01E" w14:textId="77777777" w:rsidR="00740992" w:rsidRPr="00D10609" w:rsidRDefault="00740992" w:rsidP="00740992">
      <w:pPr>
        <w:spacing w:line="480" w:lineRule="auto"/>
        <w:jc w:val="center"/>
        <w:rPr>
          <w:rFonts w:ascii="Times New Roman" w:hAnsi="Times New Roman"/>
          <w:sz w:val="24"/>
          <w:szCs w:val="24"/>
        </w:rPr>
      </w:pPr>
      <w:r>
        <w:rPr>
          <w:rFonts w:ascii="Times New Roman" w:hAnsi="Times New Roman"/>
          <w:sz w:val="24"/>
          <w:szCs w:val="24"/>
        </w:rPr>
        <w:t>Equity in Education as it Relates to Mathematics Instruction</w:t>
      </w:r>
    </w:p>
    <w:p w14:paraId="538DCA32" w14:textId="77777777" w:rsidR="00740992" w:rsidRPr="00D10609" w:rsidRDefault="00740992" w:rsidP="00740992">
      <w:pPr>
        <w:spacing w:line="480" w:lineRule="auto"/>
        <w:jc w:val="center"/>
        <w:rPr>
          <w:rFonts w:ascii="Times New Roman" w:hAnsi="Times New Roman"/>
          <w:sz w:val="24"/>
          <w:szCs w:val="24"/>
        </w:rPr>
      </w:pPr>
    </w:p>
    <w:p w14:paraId="0192BE34" w14:textId="43D0CFD2" w:rsidR="00740992" w:rsidRPr="00D10609" w:rsidRDefault="00740992" w:rsidP="7BDEB32F">
      <w:pPr>
        <w:tabs>
          <w:tab w:val="left" w:pos="2160"/>
          <w:tab w:val="center" w:pos="4680"/>
        </w:tabs>
        <w:spacing w:line="480" w:lineRule="auto"/>
        <w:jc w:val="center"/>
        <w:rPr>
          <w:rFonts w:ascii="Times New Roman" w:hAnsi="Times New Roman"/>
          <w:sz w:val="24"/>
          <w:szCs w:val="24"/>
        </w:rPr>
      </w:pPr>
      <w:r w:rsidRPr="00D10609">
        <w:rPr>
          <w:rFonts w:ascii="Times New Roman" w:hAnsi="Times New Roman"/>
          <w:sz w:val="24"/>
          <w:szCs w:val="24"/>
        </w:rPr>
        <w:t xml:space="preserve">By </w:t>
      </w:r>
      <w:r>
        <w:rPr>
          <w:rFonts w:ascii="Times New Roman" w:hAnsi="Times New Roman"/>
          <w:sz w:val="24"/>
          <w:szCs w:val="24"/>
        </w:rPr>
        <w:t xml:space="preserve">Elizabeth </w:t>
      </w:r>
      <w:r w:rsidR="00317244">
        <w:rPr>
          <w:rFonts w:ascii="Times New Roman" w:hAnsi="Times New Roman"/>
          <w:sz w:val="24"/>
          <w:szCs w:val="24"/>
        </w:rPr>
        <w:t xml:space="preserve">A. </w:t>
      </w:r>
      <w:r>
        <w:rPr>
          <w:rFonts w:ascii="Times New Roman" w:hAnsi="Times New Roman"/>
          <w:sz w:val="24"/>
          <w:szCs w:val="24"/>
        </w:rPr>
        <w:t>Kaniuka</w:t>
      </w:r>
    </w:p>
    <w:p w14:paraId="759782CA" w14:textId="77777777" w:rsidR="00740992" w:rsidRPr="00D10609" w:rsidRDefault="00740992" w:rsidP="00740992">
      <w:pPr>
        <w:spacing w:line="480" w:lineRule="auto"/>
        <w:jc w:val="center"/>
        <w:rPr>
          <w:rFonts w:ascii="Times New Roman" w:hAnsi="Times New Roman"/>
          <w:sz w:val="24"/>
          <w:szCs w:val="24"/>
        </w:rPr>
      </w:pPr>
    </w:p>
    <w:p w14:paraId="50817E89" w14:textId="77777777" w:rsidR="00740992" w:rsidRPr="00D10609" w:rsidRDefault="00740992" w:rsidP="00740992">
      <w:pPr>
        <w:spacing w:line="480" w:lineRule="auto"/>
        <w:jc w:val="center"/>
        <w:rPr>
          <w:rFonts w:ascii="Times New Roman" w:hAnsi="Times New Roman"/>
          <w:sz w:val="24"/>
          <w:szCs w:val="24"/>
        </w:rPr>
      </w:pPr>
    </w:p>
    <w:p w14:paraId="12E03C97" w14:textId="77777777" w:rsidR="00740992" w:rsidRPr="00D10609" w:rsidRDefault="00740992" w:rsidP="00740992">
      <w:pPr>
        <w:spacing w:line="480" w:lineRule="auto"/>
        <w:jc w:val="center"/>
        <w:rPr>
          <w:rFonts w:ascii="Times New Roman" w:hAnsi="Times New Roman"/>
          <w:sz w:val="24"/>
          <w:szCs w:val="24"/>
        </w:rPr>
      </w:pPr>
    </w:p>
    <w:p w14:paraId="3F813922" w14:textId="77777777" w:rsidR="00740992" w:rsidRPr="00D10609" w:rsidRDefault="00740992" w:rsidP="00740992">
      <w:pPr>
        <w:spacing w:line="480" w:lineRule="auto"/>
        <w:jc w:val="center"/>
        <w:rPr>
          <w:rFonts w:ascii="Times New Roman" w:hAnsi="Times New Roman"/>
          <w:sz w:val="24"/>
          <w:szCs w:val="24"/>
        </w:rPr>
      </w:pPr>
      <w:r w:rsidRPr="00D10609">
        <w:rPr>
          <w:rFonts w:ascii="Times New Roman" w:hAnsi="Times New Roman"/>
          <w:sz w:val="24"/>
          <w:szCs w:val="24"/>
        </w:rPr>
        <w:t>Submitted in Partial Fulfillment of the Requirements for the</w:t>
      </w:r>
    </w:p>
    <w:p w14:paraId="5B79A3BE" w14:textId="77777777" w:rsidR="00740992" w:rsidRPr="00D10609" w:rsidRDefault="00740992" w:rsidP="00740992">
      <w:pPr>
        <w:spacing w:line="480" w:lineRule="auto"/>
        <w:jc w:val="center"/>
        <w:rPr>
          <w:rFonts w:ascii="Times New Roman" w:hAnsi="Times New Roman"/>
          <w:sz w:val="24"/>
          <w:szCs w:val="24"/>
        </w:rPr>
      </w:pPr>
      <w:r w:rsidRPr="00D10609">
        <w:rPr>
          <w:rFonts w:ascii="Times New Roman" w:hAnsi="Times New Roman"/>
          <w:sz w:val="24"/>
          <w:szCs w:val="24"/>
        </w:rPr>
        <w:t>Degree of Master of Education</w:t>
      </w:r>
    </w:p>
    <w:p w14:paraId="648B9A6B" w14:textId="77777777" w:rsidR="00740992" w:rsidRPr="00D10609" w:rsidRDefault="00740992" w:rsidP="00740992">
      <w:pPr>
        <w:spacing w:line="480" w:lineRule="auto"/>
        <w:jc w:val="center"/>
        <w:rPr>
          <w:rFonts w:ascii="Times New Roman" w:hAnsi="Times New Roman"/>
          <w:sz w:val="24"/>
          <w:szCs w:val="24"/>
        </w:rPr>
      </w:pPr>
    </w:p>
    <w:p w14:paraId="5AAFF860" w14:textId="77777777" w:rsidR="00740992" w:rsidRPr="00D10609" w:rsidRDefault="00740992" w:rsidP="00740992">
      <w:pPr>
        <w:spacing w:line="480" w:lineRule="auto"/>
        <w:jc w:val="center"/>
        <w:rPr>
          <w:rFonts w:ascii="Times New Roman" w:hAnsi="Times New Roman"/>
          <w:sz w:val="24"/>
          <w:szCs w:val="24"/>
        </w:rPr>
      </w:pPr>
    </w:p>
    <w:p w14:paraId="2BD85E3B" w14:textId="77777777" w:rsidR="00740992" w:rsidRPr="00D10609" w:rsidRDefault="00740992" w:rsidP="00740992">
      <w:pPr>
        <w:spacing w:line="480" w:lineRule="auto"/>
        <w:jc w:val="center"/>
        <w:rPr>
          <w:rFonts w:ascii="Times New Roman" w:hAnsi="Times New Roman"/>
          <w:sz w:val="24"/>
          <w:szCs w:val="24"/>
        </w:rPr>
      </w:pPr>
    </w:p>
    <w:p w14:paraId="26A3D1BB" w14:textId="77777777" w:rsidR="00740992" w:rsidRPr="00D10609" w:rsidRDefault="00740992" w:rsidP="00740992">
      <w:pPr>
        <w:spacing w:line="480" w:lineRule="auto"/>
        <w:jc w:val="center"/>
        <w:rPr>
          <w:rFonts w:ascii="Times New Roman" w:hAnsi="Times New Roman"/>
          <w:sz w:val="24"/>
          <w:szCs w:val="24"/>
        </w:rPr>
      </w:pPr>
      <w:r>
        <w:rPr>
          <w:rFonts w:ascii="Times New Roman" w:hAnsi="Times New Roman"/>
          <w:sz w:val="24"/>
          <w:szCs w:val="24"/>
        </w:rPr>
        <w:t>April 2021</w:t>
      </w:r>
    </w:p>
    <w:p w14:paraId="75B1B3AB" w14:textId="77777777" w:rsidR="00740992" w:rsidRPr="00D10609" w:rsidRDefault="00740992" w:rsidP="00740992">
      <w:pPr>
        <w:spacing w:line="480" w:lineRule="auto"/>
        <w:jc w:val="center"/>
        <w:rPr>
          <w:rFonts w:ascii="Times New Roman" w:hAnsi="Times New Roman"/>
          <w:sz w:val="24"/>
          <w:szCs w:val="24"/>
        </w:rPr>
      </w:pPr>
    </w:p>
    <w:p w14:paraId="3D46A4ED" w14:textId="77777777" w:rsidR="00740992" w:rsidRPr="00D10609" w:rsidRDefault="00740992" w:rsidP="00740992">
      <w:pPr>
        <w:spacing w:line="480" w:lineRule="auto"/>
        <w:jc w:val="center"/>
        <w:rPr>
          <w:rFonts w:ascii="Times New Roman" w:hAnsi="Times New Roman"/>
          <w:sz w:val="24"/>
          <w:szCs w:val="24"/>
        </w:rPr>
      </w:pPr>
    </w:p>
    <w:p w14:paraId="5A31F109" w14:textId="77777777" w:rsidR="00740992" w:rsidRPr="00D10609" w:rsidRDefault="00740992" w:rsidP="00740992">
      <w:pPr>
        <w:spacing w:line="480" w:lineRule="auto"/>
        <w:jc w:val="center"/>
        <w:rPr>
          <w:rFonts w:ascii="Times New Roman" w:hAnsi="Times New Roman"/>
          <w:sz w:val="24"/>
          <w:szCs w:val="24"/>
        </w:rPr>
      </w:pPr>
      <w:r w:rsidRPr="00D10609">
        <w:rPr>
          <w:rFonts w:ascii="Times New Roman" w:hAnsi="Times New Roman"/>
          <w:sz w:val="24"/>
          <w:szCs w:val="24"/>
        </w:rPr>
        <w:t>Graduate Programs in Education</w:t>
      </w:r>
    </w:p>
    <w:p w14:paraId="6B93C0DB" w14:textId="77777777" w:rsidR="006A365C" w:rsidRDefault="006A365C" w:rsidP="006A365C">
      <w:pPr>
        <w:spacing w:line="480" w:lineRule="auto"/>
        <w:jc w:val="center"/>
        <w:rPr>
          <w:rFonts w:ascii="Times New Roman" w:hAnsi="Times New Roman"/>
          <w:sz w:val="24"/>
          <w:szCs w:val="24"/>
        </w:rPr>
      </w:pPr>
      <w:bookmarkStart w:id="0" w:name="_Hlk69978184"/>
    </w:p>
    <w:p w14:paraId="1226C825" w14:textId="77777777" w:rsidR="006A365C" w:rsidRDefault="006A365C" w:rsidP="006A365C">
      <w:pPr>
        <w:spacing w:line="480" w:lineRule="auto"/>
        <w:jc w:val="center"/>
        <w:rPr>
          <w:rFonts w:ascii="Times New Roman" w:hAnsi="Times New Roman"/>
          <w:sz w:val="24"/>
          <w:szCs w:val="24"/>
        </w:rPr>
      </w:pPr>
    </w:p>
    <w:p w14:paraId="3FA9BC58" w14:textId="77777777" w:rsidR="006A365C" w:rsidRDefault="006A365C" w:rsidP="006A365C">
      <w:pPr>
        <w:spacing w:line="480" w:lineRule="auto"/>
        <w:jc w:val="center"/>
        <w:rPr>
          <w:rFonts w:ascii="Times New Roman" w:hAnsi="Times New Roman"/>
          <w:sz w:val="24"/>
          <w:szCs w:val="24"/>
        </w:rPr>
      </w:pPr>
    </w:p>
    <w:p w14:paraId="693AFA4C" w14:textId="74D8E3D8" w:rsidR="006A365C" w:rsidRPr="00D10609" w:rsidRDefault="006A365C" w:rsidP="006A365C">
      <w:pPr>
        <w:spacing w:line="480" w:lineRule="auto"/>
        <w:jc w:val="center"/>
        <w:rPr>
          <w:rFonts w:ascii="Times New Roman" w:hAnsi="Times New Roman"/>
          <w:sz w:val="24"/>
          <w:szCs w:val="24"/>
        </w:rPr>
      </w:pPr>
      <w:r w:rsidRPr="00D10609">
        <w:rPr>
          <w:rFonts w:ascii="Times New Roman" w:hAnsi="Times New Roman"/>
          <w:sz w:val="24"/>
          <w:szCs w:val="24"/>
        </w:rPr>
        <w:lastRenderedPageBreak/>
        <w:t>Table of Contents</w:t>
      </w:r>
    </w:p>
    <w:tbl>
      <w:tblPr>
        <w:tblW w:w="9720" w:type="dxa"/>
        <w:tblLook w:val="04A0" w:firstRow="1" w:lastRow="0" w:firstColumn="1" w:lastColumn="0" w:noHBand="0" w:noVBand="1"/>
      </w:tblPr>
      <w:tblGrid>
        <w:gridCol w:w="8628"/>
        <w:gridCol w:w="1092"/>
      </w:tblGrid>
      <w:tr w:rsidR="006A365C" w:rsidRPr="00A21ECD" w14:paraId="0A9E3CA0" w14:textId="77777777" w:rsidTr="00964052">
        <w:tc>
          <w:tcPr>
            <w:tcW w:w="8628" w:type="dxa"/>
            <w:vAlign w:val="center"/>
          </w:tcPr>
          <w:p w14:paraId="16A130B8"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List of Tables</w:t>
            </w:r>
          </w:p>
        </w:tc>
        <w:tc>
          <w:tcPr>
            <w:tcW w:w="1092" w:type="dxa"/>
            <w:vAlign w:val="center"/>
          </w:tcPr>
          <w:p w14:paraId="40D6C707" w14:textId="77777777" w:rsidR="006A365C" w:rsidRPr="00A21ECD" w:rsidRDefault="006A365C" w:rsidP="00964052">
            <w:pPr>
              <w:spacing w:line="480" w:lineRule="auto"/>
              <w:jc w:val="right"/>
              <w:rPr>
                <w:rFonts w:ascii="Times New Roman" w:hAnsi="Times New Roman"/>
                <w:sz w:val="24"/>
                <w:szCs w:val="24"/>
              </w:rPr>
            </w:pPr>
            <w:proofErr w:type="spellStart"/>
            <w:r w:rsidRPr="00A21ECD">
              <w:rPr>
                <w:rFonts w:ascii="Times New Roman" w:hAnsi="Times New Roman"/>
                <w:sz w:val="24"/>
                <w:szCs w:val="24"/>
              </w:rPr>
              <w:t>i</w:t>
            </w:r>
            <w:proofErr w:type="spellEnd"/>
          </w:p>
        </w:tc>
      </w:tr>
      <w:tr w:rsidR="006A365C" w:rsidRPr="00A21ECD" w14:paraId="5C55C101" w14:textId="77777777" w:rsidTr="00964052">
        <w:tc>
          <w:tcPr>
            <w:tcW w:w="8628" w:type="dxa"/>
            <w:vAlign w:val="center"/>
          </w:tcPr>
          <w:p w14:paraId="73887ADF"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Abstract</w:t>
            </w:r>
          </w:p>
        </w:tc>
        <w:tc>
          <w:tcPr>
            <w:tcW w:w="1092" w:type="dxa"/>
            <w:vAlign w:val="center"/>
          </w:tcPr>
          <w:p w14:paraId="55DEB86B"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ii</w:t>
            </w:r>
          </w:p>
        </w:tc>
      </w:tr>
      <w:tr w:rsidR="006A365C" w:rsidRPr="00A21ECD" w14:paraId="1EC46231" w14:textId="77777777" w:rsidTr="00964052">
        <w:tc>
          <w:tcPr>
            <w:tcW w:w="8628" w:type="dxa"/>
            <w:vAlign w:val="center"/>
          </w:tcPr>
          <w:p w14:paraId="60DA1EED"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I. Introduction</w:t>
            </w:r>
          </w:p>
        </w:tc>
        <w:tc>
          <w:tcPr>
            <w:tcW w:w="1092" w:type="dxa"/>
            <w:vAlign w:val="center"/>
          </w:tcPr>
          <w:p w14:paraId="2AE14297"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w:t>
            </w:r>
            <w:r>
              <w:rPr>
                <w:rFonts w:ascii="Times New Roman" w:hAnsi="Times New Roman"/>
                <w:sz w:val="24"/>
                <w:szCs w:val="24"/>
              </w:rPr>
              <w:t>-2</w:t>
            </w:r>
          </w:p>
        </w:tc>
      </w:tr>
      <w:tr w:rsidR="006A365C" w:rsidRPr="00A21ECD" w14:paraId="43433125" w14:textId="77777777" w:rsidTr="00964052">
        <w:tc>
          <w:tcPr>
            <w:tcW w:w="8628" w:type="dxa"/>
            <w:vAlign w:val="center"/>
          </w:tcPr>
          <w:p w14:paraId="6EF7A247"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Overview</w:t>
            </w:r>
          </w:p>
        </w:tc>
        <w:tc>
          <w:tcPr>
            <w:tcW w:w="1092" w:type="dxa"/>
            <w:vAlign w:val="center"/>
          </w:tcPr>
          <w:p w14:paraId="2D196BA4"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w:t>
            </w:r>
            <w:r>
              <w:rPr>
                <w:rFonts w:ascii="Times New Roman" w:hAnsi="Times New Roman"/>
                <w:sz w:val="24"/>
                <w:szCs w:val="24"/>
              </w:rPr>
              <w:t>3</w:t>
            </w:r>
          </w:p>
        </w:tc>
      </w:tr>
      <w:tr w:rsidR="006A365C" w:rsidRPr="00A21ECD" w14:paraId="09E047E3" w14:textId="77777777" w:rsidTr="00964052">
        <w:tc>
          <w:tcPr>
            <w:tcW w:w="8628" w:type="dxa"/>
            <w:vAlign w:val="center"/>
          </w:tcPr>
          <w:p w14:paraId="03C1259F"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Statement of Problem &amp; Hypothesis</w:t>
            </w:r>
          </w:p>
        </w:tc>
        <w:tc>
          <w:tcPr>
            <w:tcW w:w="1092" w:type="dxa"/>
            <w:vAlign w:val="center"/>
          </w:tcPr>
          <w:p w14:paraId="23CCFBB0"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3</w:t>
            </w:r>
          </w:p>
        </w:tc>
      </w:tr>
      <w:tr w:rsidR="006A365C" w:rsidRPr="00A21ECD" w14:paraId="6192369F" w14:textId="77777777" w:rsidTr="00964052">
        <w:tc>
          <w:tcPr>
            <w:tcW w:w="8628" w:type="dxa"/>
            <w:vAlign w:val="center"/>
          </w:tcPr>
          <w:p w14:paraId="7C3284BC"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Operational Definitions</w:t>
            </w:r>
          </w:p>
        </w:tc>
        <w:tc>
          <w:tcPr>
            <w:tcW w:w="1092" w:type="dxa"/>
            <w:vAlign w:val="center"/>
          </w:tcPr>
          <w:p w14:paraId="391B261F"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4</w:t>
            </w:r>
          </w:p>
        </w:tc>
      </w:tr>
      <w:tr w:rsidR="006A365C" w:rsidRPr="00A21ECD" w14:paraId="71451046" w14:textId="77777777" w:rsidTr="00964052">
        <w:tc>
          <w:tcPr>
            <w:tcW w:w="8628" w:type="dxa"/>
            <w:vAlign w:val="center"/>
          </w:tcPr>
          <w:p w14:paraId="414656EA"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II. Review of the Literature</w:t>
            </w:r>
          </w:p>
        </w:tc>
        <w:tc>
          <w:tcPr>
            <w:tcW w:w="1092" w:type="dxa"/>
            <w:vAlign w:val="center"/>
          </w:tcPr>
          <w:p w14:paraId="42813117"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5</w:t>
            </w:r>
          </w:p>
        </w:tc>
      </w:tr>
      <w:tr w:rsidR="006A365C" w:rsidRPr="00A21ECD" w14:paraId="1BF56152" w14:textId="77777777" w:rsidTr="00964052">
        <w:tc>
          <w:tcPr>
            <w:tcW w:w="8628" w:type="dxa"/>
            <w:vAlign w:val="center"/>
          </w:tcPr>
          <w:p w14:paraId="018E543B"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Definition of Equality and its Effects on Students</w:t>
            </w:r>
          </w:p>
        </w:tc>
        <w:tc>
          <w:tcPr>
            <w:tcW w:w="1092" w:type="dxa"/>
            <w:vAlign w:val="center"/>
          </w:tcPr>
          <w:p w14:paraId="4C420638"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5-6</w:t>
            </w:r>
          </w:p>
        </w:tc>
      </w:tr>
      <w:tr w:rsidR="006A365C" w:rsidRPr="00A21ECD" w14:paraId="0715EC64" w14:textId="77777777" w:rsidTr="00964052">
        <w:tc>
          <w:tcPr>
            <w:tcW w:w="8628" w:type="dxa"/>
            <w:vAlign w:val="center"/>
          </w:tcPr>
          <w:p w14:paraId="2FA356F7"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Equity in Schools</w:t>
            </w:r>
          </w:p>
        </w:tc>
        <w:tc>
          <w:tcPr>
            <w:tcW w:w="1092" w:type="dxa"/>
            <w:vAlign w:val="center"/>
          </w:tcPr>
          <w:p w14:paraId="284C02D8"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6-9</w:t>
            </w:r>
          </w:p>
        </w:tc>
      </w:tr>
      <w:tr w:rsidR="006A365C" w:rsidRPr="00A21ECD" w14:paraId="0578EF47" w14:textId="77777777" w:rsidTr="00964052">
        <w:tc>
          <w:tcPr>
            <w:tcW w:w="8628" w:type="dxa"/>
            <w:vAlign w:val="center"/>
          </w:tcPr>
          <w:p w14:paraId="6F1A7C96"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Equitable Teaching</w:t>
            </w:r>
          </w:p>
        </w:tc>
        <w:tc>
          <w:tcPr>
            <w:tcW w:w="1092" w:type="dxa"/>
            <w:vAlign w:val="center"/>
          </w:tcPr>
          <w:p w14:paraId="662A7289"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9-10</w:t>
            </w:r>
          </w:p>
        </w:tc>
      </w:tr>
      <w:tr w:rsidR="006A365C" w:rsidRPr="00A21ECD" w14:paraId="1414362B" w14:textId="77777777" w:rsidTr="00964052">
        <w:tc>
          <w:tcPr>
            <w:tcW w:w="8628" w:type="dxa"/>
            <w:vAlign w:val="center"/>
          </w:tcPr>
          <w:p w14:paraId="0B8033CA"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Valuable Curriculum through an Equity Lens</w:t>
            </w:r>
          </w:p>
        </w:tc>
        <w:tc>
          <w:tcPr>
            <w:tcW w:w="1092" w:type="dxa"/>
            <w:vAlign w:val="center"/>
          </w:tcPr>
          <w:p w14:paraId="504F7A50"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10</w:t>
            </w:r>
          </w:p>
        </w:tc>
      </w:tr>
      <w:tr w:rsidR="006A365C" w:rsidRPr="00A21ECD" w14:paraId="4CAEF400" w14:textId="77777777" w:rsidTr="00964052">
        <w:tc>
          <w:tcPr>
            <w:tcW w:w="8628" w:type="dxa"/>
            <w:vAlign w:val="center"/>
          </w:tcPr>
          <w:p w14:paraId="666EC0B2"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Equity Barriers and Teaching Strategies  </w:t>
            </w:r>
          </w:p>
        </w:tc>
        <w:tc>
          <w:tcPr>
            <w:tcW w:w="1092" w:type="dxa"/>
            <w:vAlign w:val="center"/>
          </w:tcPr>
          <w:p w14:paraId="41E36BE4"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w:t>
            </w:r>
            <w:r>
              <w:rPr>
                <w:rFonts w:ascii="Times New Roman" w:hAnsi="Times New Roman"/>
                <w:sz w:val="24"/>
                <w:szCs w:val="24"/>
              </w:rPr>
              <w:t xml:space="preserve">     </w:t>
            </w:r>
            <w:r w:rsidRPr="00A21ECD">
              <w:rPr>
                <w:rFonts w:ascii="Times New Roman" w:hAnsi="Times New Roman"/>
                <w:sz w:val="24"/>
                <w:szCs w:val="24"/>
              </w:rPr>
              <w:t>11</w:t>
            </w:r>
          </w:p>
        </w:tc>
      </w:tr>
      <w:tr w:rsidR="006A365C" w:rsidRPr="00A21ECD" w14:paraId="70629237" w14:textId="77777777" w:rsidTr="00964052">
        <w:tc>
          <w:tcPr>
            <w:tcW w:w="8628" w:type="dxa"/>
            <w:vAlign w:val="center"/>
          </w:tcPr>
          <w:p w14:paraId="6ED38C99"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III. Methods</w:t>
            </w:r>
          </w:p>
        </w:tc>
        <w:tc>
          <w:tcPr>
            <w:tcW w:w="1092" w:type="dxa"/>
            <w:vAlign w:val="center"/>
          </w:tcPr>
          <w:p w14:paraId="44C5B94D"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12</w:t>
            </w:r>
          </w:p>
        </w:tc>
      </w:tr>
      <w:tr w:rsidR="006A365C" w:rsidRPr="00A21ECD" w14:paraId="20B6E590" w14:textId="77777777" w:rsidTr="00964052">
        <w:tc>
          <w:tcPr>
            <w:tcW w:w="8628" w:type="dxa"/>
            <w:vAlign w:val="center"/>
          </w:tcPr>
          <w:p w14:paraId="1090409E"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Design</w:t>
            </w:r>
          </w:p>
        </w:tc>
        <w:tc>
          <w:tcPr>
            <w:tcW w:w="1092" w:type="dxa"/>
            <w:vAlign w:val="center"/>
          </w:tcPr>
          <w:p w14:paraId="090BB1F6"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12</w:t>
            </w:r>
          </w:p>
        </w:tc>
      </w:tr>
      <w:tr w:rsidR="006A365C" w:rsidRPr="00A21ECD" w14:paraId="23CC95B5" w14:textId="77777777" w:rsidTr="00964052">
        <w:tc>
          <w:tcPr>
            <w:tcW w:w="8628" w:type="dxa"/>
            <w:vAlign w:val="center"/>
          </w:tcPr>
          <w:p w14:paraId="23918BD2"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Participants</w:t>
            </w:r>
          </w:p>
        </w:tc>
        <w:tc>
          <w:tcPr>
            <w:tcW w:w="1092" w:type="dxa"/>
            <w:vAlign w:val="center"/>
          </w:tcPr>
          <w:p w14:paraId="21ADCE35"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12-13</w:t>
            </w:r>
          </w:p>
        </w:tc>
      </w:tr>
      <w:tr w:rsidR="006A365C" w:rsidRPr="00A21ECD" w14:paraId="587F8252" w14:textId="77777777" w:rsidTr="00964052">
        <w:tc>
          <w:tcPr>
            <w:tcW w:w="8628" w:type="dxa"/>
            <w:vAlign w:val="center"/>
          </w:tcPr>
          <w:p w14:paraId="7A97FB0B"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Instrument</w:t>
            </w:r>
          </w:p>
        </w:tc>
        <w:tc>
          <w:tcPr>
            <w:tcW w:w="1092" w:type="dxa"/>
            <w:vAlign w:val="center"/>
          </w:tcPr>
          <w:p w14:paraId="3386E156"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13</w:t>
            </w:r>
          </w:p>
        </w:tc>
      </w:tr>
      <w:tr w:rsidR="006A365C" w:rsidRPr="00A21ECD" w14:paraId="2E247C51" w14:textId="77777777" w:rsidTr="00964052">
        <w:tc>
          <w:tcPr>
            <w:tcW w:w="8628" w:type="dxa"/>
            <w:vAlign w:val="center"/>
          </w:tcPr>
          <w:p w14:paraId="2EB77B14"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lastRenderedPageBreak/>
              <w:t xml:space="preserve">            Procedure</w:t>
            </w:r>
          </w:p>
        </w:tc>
        <w:tc>
          <w:tcPr>
            <w:tcW w:w="1092" w:type="dxa"/>
            <w:vAlign w:val="center"/>
          </w:tcPr>
          <w:p w14:paraId="4FF96856"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13-14</w:t>
            </w:r>
          </w:p>
        </w:tc>
      </w:tr>
      <w:tr w:rsidR="006A365C" w:rsidRPr="00A21ECD" w14:paraId="6F4A9549" w14:textId="77777777" w:rsidTr="00964052">
        <w:tc>
          <w:tcPr>
            <w:tcW w:w="8628" w:type="dxa"/>
            <w:vAlign w:val="center"/>
          </w:tcPr>
          <w:p w14:paraId="48C1F76F"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IV. Results</w:t>
            </w:r>
          </w:p>
        </w:tc>
        <w:tc>
          <w:tcPr>
            <w:tcW w:w="1092" w:type="dxa"/>
            <w:vAlign w:val="center"/>
          </w:tcPr>
          <w:p w14:paraId="543E2627"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15</w:t>
            </w:r>
          </w:p>
        </w:tc>
      </w:tr>
      <w:tr w:rsidR="006A365C" w:rsidRPr="00A21ECD" w14:paraId="78F804F7" w14:textId="77777777" w:rsidTr="00964052">
        <w:tc>
          <w:tcPr>
            <w:tcW w:w="8628" w:type="dxa"/>
            <w:vAlign w:val="center"/>
          </w:tcPr>
          <w:p w14:paraId="1B4DF9AC"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Results</w:t>
            </w:r>
          </w:p>
        </w:tc>
        <w:tc>
          <w:tcPr>
            <w:tcW w:w="1092" w:type="dxa"/>
            <w:vAlign w:val="center"/>
          </w:tcPr>
          <w:p w14:paraId="1970018C"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15</w:t>
            </w:r>
            <w:r>
              <w:rPr>
                <w:rFonts w:ascii="Times New Roman" w:hAnsi="Times New Roman"/>
                <w:sz w:val="24"/>
                <w:szCs w:val="24"/>
              </w:rPr>
              <w:t>-16</w:t>
            </w:r>
          </w:p>
        </w:tc>
      </w:tr>
      <w:tr w:rsidR="006A365C" w:rsidRPr="00A21ECD" w14:paraId="436EE2EA" w14:textId="77777777" w:rsidTr="00964052">
        <w:tc>
          <w:tcPr>
            <w:tcW w:w="8628" w:type="dxa"/>
            <w:vAlign w:val="center"/>
          </w:tcPr>
          <w:p w14:paraId="5DE35EE8"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V. Discussion</w:t>
            </w:r>
          </w:p>
        </w:tc>
        <w:tc>
          <w:tcPr>
            <w:tcW w:w="1092" w:type="dxa"/>
            <w:vAlign w:val="center"/>
          </w:tcPr>
          <w:p w14:paraId="76BCC8C3"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w:t>
            </w:r>
            <w:r>
              <w:rPr>
                <w:rFonts w:ascii="Times New Roman" w:hAnsi="Times New Roman"/>
                <w:sz w:val="24"/>
                <w:szCs w:val="24"/>
              </w:rPr>
              <w:t>7</w:t>
            </w:r>
          </w:p>
        </w:tc>
      </w:tr>
      <w:tr w:rsidR="006A365C" w:rsidRPr="00A21ECD" w14:paraId="19AD0DE3" w14:textId="77777777" w:rsidTr="00964052">
        <w:tc>
          <w:tcPr>
            <w:tcW w:w="8628" w:type="dxa"/>
            <w:vAlign w:val="center"/>
          </w:tcPr>
          <w:p w14:paraId="10041170"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ab/>
              <w:t>Implications of Results</w:t>
            </w:r>
          </w:p>
        </w:tc>
        <w:tc>
          <w:tcPr>
            <w:tcW w:w="1092" w:type="dxa"/>
            <w:vAlign w:val="center"/>
          </w:tcPr>
          <w:p w14:paraId="071DB4C8"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17</w:t>
            </w:r>
          </w:p>
        </w:tc>
      </w:tr>
      <w:tr w:rsidR="006A365C" w:rsidRPr="00A21ECD" w14:paraId="0C3DB62F" w14:textId="77777777" w:rsidTr="00964052">
        <w:tc>
          <w:tcPr>
            <w:tcW w:w="8628" w:type="dxa"/>
            <w:vAlign w:val="center"/>
          </w:tcPr>
          <w:p w14:paraId="1EFA7DE8"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Theoretical Consequences</w:t>
            </w:r>
          </w:p>
        </w:tc>
        <w:tc>
          <w:tcPr>
            <w:tcW w:w="1092" w:type="dxa"/>
            <w:vAlign w:val="center"/>
          </w:tcPr>
          <w:p w14:paraId="0ABCE8DA"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17-18</w:t>
            </w:r>
          </w:p>
        </w:tc>
      </w:tr>
      <w:tr w:rsidR="006A365C" w:rsidRPr="00A21ECD" w14:paraId="5810B6EE" w14:textId="77777777" w:rsidTr="00964052">
        <w:tc>
          <w:tcPr>
            <w:tcW w:w="8628" w:type="dxa"/>
            <w:vAlign w:val="center"/>
          </w:tcPr>
          <w:p w14:paraId="3682EB63"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Threats to the Validity</w:t>
            </w:r>
          </w:p>
        </w:tc>
        <w:tc>
          <w:tcPr>
            <w:tcW w:w="1092" w:type="dxa"/>
            <w:vAlign w:val="center"/>
          </w:tcPr>
          <w:p w14:paraId="578D0549"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18</w:t>
            </w:r>
          </w:p>
        </w:tc>
      </w:tr>
      <w:tr w:rsidR="006A365C" w:rsidRPr="00A21ECD" w14:paraId="22676F04" w14:textId="77777777" w:rsidTr="00964052">
        <w:tc>
          <w:tcPr>
            <w:tcW w:w="8628" w:type="dxa"/>
            <w:vAlign w:val="center"/>
          </w:tcPr>
          <w:p w14:paraId="1446BA81"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Connections of Previous Studies</w:t>
            </w:r>
          </w:p>
        </w:tc>
        <w:tc>
          <w:tcPr>
            <w:tcW w:w="1092" w:type="dxa"/>
            <w:vAlign w:val="center"/>
          </w:tcPr>
          <w:p w14:paraId="786DABDE"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18-19</w:t>
            </w:r>
          </w:p>
        </w:tc>
      </w:tr>
      <w:tr w:rsidR="006A365C" w:rsidRPr="00A21ECD" w14:paraId="384D2D39" w14:textId="77777777" w:rsidTr="00964052">
        <w:tc>
          <w:tcPr>
            <w:tcW w:w="8628" w:type="dxa"/>
            <w:vAlign w:val="center"/>
          </w:tcPr>
          <w:p w14:paraId="751AC098"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Implications for Future Research</w:t>
            </w:r>
          </w:p>
        </w:tc>
        <w:tc>
          <w:tcPr>
            <w:tcW w:w="1092" w:type="dxa"/>
            <w:vAlign w:val="center"/>
          </w:tcPr>
          <w:p w14:paraId="1E5B86C0"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19-20</w:t>
            </w:r>
          </w:p>
        </w:tc>
      </w:tr>
      <w:tr w:rsidR="006A365C" w:rsidRPr="00A21ECD" w14:paraId="4AFB5FF4" w14:textId="77777777" w:rsidTr="00964052">
        <w:tc>
          <w:tcPr>
            <w:tcW w:w="8628" w:type="dxa"/>
            <w:vAlign w:val="center"/>
          </w:tcPr>
          <w:p w14:paraId="03CCA366"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 xml:space="preserve">             Conclusions </w:t>
            </w:r>
          </w:p>
        </w:tc>
        <w:tc>
          <w:tcPr>
            <w:tcW w:w="1092" w:type="dxa"/>
            <w:vAlign w:val="center"/>
          </w:tcPr>
          <w:p w14:paraId="5CA542AA"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20</w:t>
            </w:r>
            <w:r>
              <w:rPr>
                <w:rFonts w:ascii="Times New Roman" w:hAnsi="Times New Roman"/>
                <w:sz w:val="24"/>
                <w:szCs w:val="24"/>
              </w:rPr>
              <w:t>-21</w:t>
            </w:r>
          </w:p>
        </w:tc>
      </w:tr>
      <w:tr w:rsidR="006A365C" w:rsidRPr="00A21ECD" w14:paraId="6AD90944" w14:textId="77777777" w:rsidTr="00964052">
        <w:tc>
          <w:tcPr>
            <w:tcW w:w="8628" w:type="dxa"/>
            <w:vAlign w:val="center"/>
          </w:tcPr>
          <w:p w14:paraId="289CF892" w14:textId="77777777" w:rsidR="006A365C" w:rsidRPr="00A21ECD" w:rsidRDefault="006A365C" w:rsidP="00964052">
            <w:pPr>
              <w:spacing w:line="480" w:lineRule="auto"/>
              <w:rPr>
                <w:rFonts w:ascii="Times New Roman" w:hAnsi="Times New Roman"/>
                <w:sz w:val="24"/>
                <w:szCs w:val="24"/>
              </w:rPr>
            </w:pPr>
            <w:r w:rsidRPr="00A21ECD">
              <w:rPr>
                <w:rFonts w:ascii="Times New Roman" w:hAnsi="Times New Roman"/>
                <w:sz w:val="24"/>
                <w:szCs w:val="24"/>
              </w:rPr>
              <w:t>References</w:t>
            </w:r>
          </w:p>
        </w:tc>
        <w:tc>
          <w:tcPr>
            <w:tcW w:w="1092" w:type="dxa"/>
            <w:vAlign w:val="center"/>
          </w:tcPr>
          <w:p w14:paraId="28F8C638" w14:textId="77777777" w:rsidR="006A365C" w:rsidRPr="00A21ECD" w:rsidRDefault="006A365C" w:rsidP="00964052">
            <w:pPr>
              <w:spacing w:line="480" w:lineRule="auto"/>
              <w:jc w:val="right"/>
              <w:rPr>
                <w:rFonts w:ascii="Times New Roman" w:hAnsi="Times New Roman"/>
                <w:sz w:val="24"/>
                <w:szCs w:val="24"/>
              </w:rPr>
            </w:pPr>
            <w:r w:rsidRPr="00A21ECD">
              <w:rPr>
                <w:rFonts w:ascii="Times New Roman" w:hAnsi="Times New Roman"/>
                <w:sz w:val="24"/>
                <w:szCs w:val="24"/>
              </w:rPr>
              <w:t>2</w:t>
            </w:r>
            <w:r>
              <w:rPr>
                <w:rFonts w:ascii="Times New Roman" w:hAnsi="Times New Roman"/>
                <w:sz w:val="24"/>
                <w:szCs w:val="24"/>
              </w:rPr>
              <w:t>2-23</w:t>
            </w:r>
          </w:p>
        </w:tc>
      </w:tr>
      <w:bookmarkEnd w:id="0"/>
    </w:tbl>
    <w:p w14:paraId="37CAB212" w14:textId="77777777" w:rsidR="00740992" w:rsidRDefault="00740992" w:rsidP="00740992">
      <w:pPr>
        <w:rPr>
          <w:rFonts w:ascii="Times New Roman" w:hAnsi="Times New Roman"/>
          <w:sz w:val="24"/>
          <w:szCs w:val="24"/>
        </w:rPr>
      </w:pPr>
      <w:r>
        <w:rPr>
          <w:rFonts w:ascii="Times New Roman" w:hAnsi="Times New Roman"/>
          <w:sz w:val="24"/>
          <w:szCs w:val="24"/>
        </w:rPr>
        <w:br w:type="page"/>
      </w:r>
    </w:p>
    <w:p w14:paraId="761E3C72" w14:textId="77777777" w:rsidR="00740992" w:rsidRPr="00D10609" w:rsidRDefault="00740992" w:rsidP="00740992">
      <w:pPr>
        <w:spacing w:line="480" w:lineRule="auto"/>
        <w:jc w:val="center"/>
        <w:rPr>
          <w:rFonts w:ascii="Times New Roman" w:hAnsi="Times New Roman"/>
          <w:sz w:val="24"/>
          <w:szCs w:val="24"/>
        </w:rPr>
      </w:pPr>
      <w:r w:rsidRPr="00D10609">
        <w:rPr>
          <w:rFonts w:ascii="Times New Roman" w:hAnsi="Times New Roman"/>
          <w:sz w:val="24"/>
          <w:szCs w:val="24"/>
        </w:rPr>
        <w:lastRenderedPageBreak/>
        <w:t xml:space="preserve">List of </w:t>
      </w:r>
      <w:r>
        <w:rPr>
          <w:rFonts w:ascii="Times New Roman" w:hAnsi="Times New Roman"/>
          <w:sz w:val="24"/>
          <w:szCs w:val="24"/>
        </w:rPr>
        <w:t>Figures</w:t>
      </w:r>
    </w:p>
    <w:tbl>
      <w:tblPr>
        <w:tblW w:w="0" w:type="auto"/>
        <w:tblInd w:w="108" w:type="dxa"/>
        <w:tblLook w:val="04A0" w:firstRow="1" w:lastRow="0" w:firstColumn="1" w:lastColumn="0" w:noHBand="0" w:noVBand="1"/>
      </w:tblPr>
      <w:tblGrid>
        <w:gridCol w:w="8118"/>
        <w:gridCol w:w="738"/>
      </w:tblGrid>
      <w:tr w:rsidR="00740992" w:rsidRPr="00A21ECD" w14:paraId="52AA5522" w14:textId="77777777" w:rsidTr="00964052">
        <w:tc>
          <w:tcPr>
            <w:tcW w:w="8118" w:type="dxa"/>
            <w:vAlign w:val="center"/>
          </w:tcPr>
          <w:p w14:paraId="0101CE70" w14:textId="77777777" w:rsidR="00740992" w:rsidRPr="00A21ECD" w:rsidRDefault="00740992" w:rsidP="00964052">
            <w:pPr>
              <w:spacing w:line="257" w:lineRule="auto"/>
              <w:rPr>
                <w:rFonts w:ascii="Times New Roman" w:eastAsia="Times New Roman" w:hAnsi="Times New Roman"/>
                <w:color w:val="000000"/>
                <w:sz w:val="24"/>
                <w:szCs w:val="24"/>
              </w:rPr>
            </w:pPr>
            <w:r w:rsidRPr="00A21ECD">
              <w:rPr>
                <w:rFonts w:ascii="Times New Roman" w:hAnsi="Times New Roman"/>
                <w:sz w:val="24"/>
                <w:szCs w:val="24"/>
              </w:rPr>
              <w:t xml:space="preserve">1. </w:t>
            </w:r>
            <w:r w:rsidRPr="00A21ECD">
              <w:rPr>
                <w:rFonts w:ascii="Times New Roman" w:eastAsia="Times New Roman" w:hAnsi="Times New Roman"/>
                <w:i/>
                <w:iCs/>
                <w:color w:val="000000"/>
                <w:sz w:val="24"/>
                <w:szCs w:val="24"/>
              </w:rPr>
              <w:t>Student Formal Test Scores – Enrolled in Ramp Up to Algebra Intervention or not (N = 29)</w:t>
            </w:r>
          </w:p>
          <w:p w14:paraId="3D595D41" w14:textId="77777777" w:rsidR="00740992" w:rsidRPr="00A21ECD" w:rsidRDefault="00740992" w:rsidP="00964052">
            <w:pPr>
              <w:spacing w:line="480" w:lineRule="auto"/>
              <w:rPr>
                <w:rFonts w:ascii="Times New Roman" w:hAnsi="Times New Roman"/>
                <w:sz w:val="24"/>
                <w:szCs w:val="24"/>
              </w:rPr>
            </w:pPr>
          </w:p>
        </w:tc>
        <w:tc>
          <w:tcPr>
            <w:tcW w:w="738" w:type="dxa"/>
            <w:vAlign w:val="center"/>
          </w:tcPr>
          <w:p w14:paraId="285B53CB" w14:textId="77777777" w:rsidR="00740992" w:rsidRPr="00A21ECD" w:rsidRDefault="00740992" w:rsidP="00964052">
            <w:pPr>
              <w:spacing w:line="480" w:lineRule="auto"/>
              <w:jc w:val="right"/>
              <w:rPr>
                <w:rFonts w:ascii="Times New Roman" w:hAnsi="Times New Roman"/>
                <w:sz w:val="24"/>
                <w:szCs w:val="24"/>
              </w:rPr>
            </w:pPr>
            <w:r w:rsidRPr="00A21ECD">
              <w:rPr>
                <w:rFonts w:ascii="Times New Roman" w:hAnsi="Times New Roman"/>
                <w:sz w:val="24"/>
                <w:szCs w:val="24"/>
              </w:rPr>
              <w:t>16</w:t>
            </w:r>
          </w:p>
        </w:tc>
      </w:tr>
    </w:tbl>
    <w:p w14:paraId="6B90D0A4" w14:textId="77777777" w:rsidR="00740992" w:rsidRPr="00D10609" w:rsidRDefault="00740992" w:rsidP="00740992">
      <w:pPr>
        <w:ind w:right="907"/>
        <w:rPr>
          <w:rFonts w:ascii="Times New Roman" w:hAnsi="Times New Roman"/>
          <w:b/>
          <w:color w:val="000000"/>
          <w:sz w:val="24"/>
          <w:szCs w:val="24"/>
        </w:rPr>
      </w:pPr>
    </w:p>
    <w:p w14:paraId="2DA114DF" w14:textId="77777777" w:rsidR="00740992" w:rsidRPr="00D10609" w:rsidRDefault="00740992" w:rsidP="00740992">
      <w:pPr>
        <w:ind w:right="907"/>
        <w:rPr>
          <w:rFonts w:ascii="Times New Roman" w:hAnsi="Times New Roman"/>
          <w:b/>
          <w:color w:val="000000"/>
          <w:sz w:val="24"/>
          <w:szCs w:val="24"/>
        </w:rPr>
      </w:pPr>
      <w:r w:rsidRPr="00D10609">
        <w:rPr>
          <w:rFonts w:ascii="Times New Roman" w:hAnsi="Times New Roman"/>
          <w:b/>
          <w:color w:val="000000"/>
          <w:sz w:val="24"/>
          <w:szCs w:val="24"/>
        </w:rPr>
        <w:br w:type="page"/>
      </w:r>
    </w:p>
    <w:p w14:paraId="17AA7B11" w14:textId="77777777" w:rsidR="00740992" w:rsidRPr="00A95180" w:rsidRDefault="00740992" w:rsidP="00740992">
      <w:pPr>
        <w:spacing w:line="480" w:lineRule="auto"/>
        <w:jc w:val="center"/>
        <w:rPr>
          <w:rFonts w:ascii="Times New Roman" w:hAnsi="Times New Roman"/>
          <w:b/>
          <w:bCs/>
          <w:sz w:val="24"/>
          <w:szCs w:val="24"/>
        </w:rPr>
      </w:pPr>
      <w:r w:rsidRPr="00A95180">
        <w:rPr>
          <w:rFonts w:ascii="Times New Roman" w:hAnsi="Times New Roman"/>
          <w:b/>
          <w:bCs/>
          <w:sz w:val="24"/>
          <w:szCs w:val="24"/>
        </w:rPr>
        <w:lastRenderedPageBreak/>
        <w:t>Abstract</w:t>
      </w:r>
    </w:p>
    <w:p w14:paraId="023FFCAB" w14:textId="400DCEE7" w:rsidR="00740992" w:rsidRPr="0015799A" w:rsidRDefault="00740992" w:rsidP="00740992">
      <w:pPr>
        <w:spacing w:line="480" w:lineRule="auto"/>
        <w:rPr>
          <w:rFonts w:ascii="Times New Roman" w:eastAsia="Times New Roman" w:hAnsi="Times New Roman"/>
          <w:b/>
          <w:bCs/>
          <w:color w:val="000000"/>
          <w:sz w:val="24"/>
          <w:szCs w:val="24"/>
        </w:rPr>
        <w:sectPr w:rsidR="00740992" w:rsidRPr="0015799A" w:rsidSect="00061E75">
          <w:headerReference w:type="default" r:id="rId9"/>
          <w:footerReference w:type="default" r:id="rId10"/>
          <w:pgSz w:w="12240" w:h="15840"/>
          <w:pgMar w:top="1440" w:right="1440" w:bottom="1440" w:left="1440" w:header="720" w:footer="720" w:gutter="0"/>
          <w:pgNumType w:fmt="lowerRoman"/>
          <w:cols w:space="720"/>
          <w:titlePg/>
          <w:docGrid w:linePitch="360"/>
        </w:sectPr>
      </w:pPr>
      <w:r>
        <w:rPr>
          <w:rFonts w:ascii="Times New Roman" w:hAnsi="Times New Roman"/>
          <w:sz w:val="24"/>
          <w:szCs w:val="24"/>
        </w:rPr>
        <w:t xml:space="preserve">The purpose of this study was to determine if students enrolled in Ramp Up to Algebra Intervention would achieve higher assessment scores than students who did not receive the intervention course. Past research regarding this topic was conducted on different teaching styles and their effectiveness on eliciting comprehension of mathematics taught along with racial equity and barriers teachers </w:t>
      </w:r>
      <w:r w:rsidR="00A81016">
        <w:rPr>
          <w:rFonts w:ascii="Times New Roman" w:hAnsi="Times New Roman"/>
          <w:sz w:val="24"/>
          <w:szCs w:val="24"/>
        </w:rPr>
        <w:t xml:space="preserve">must </w:t>
      </w:r>
      <w:r>
        <w:rPr>
          <w:rFonts w:ascii="Times New Roman" w:hAnsi="Times New Roman"/>
          <w:sz w:val="24"/>
          <w:szCs w:val="24"/>
        </w:rPr>
        <w:t xml:space="preserve">overcome. The measurement tool for this study was the Benchmark/MCAP state assessment that students are required to take as a graduation requirement. The study found that the difference between students who did receive the intervention vs. students who did not </w:t>
      </w:r>
      <w:r w:rsidR="003E5A29">
        <w:rPr>
          <w:rFonts w:ascii="Times New Roman" w:hAnsi="Times New Roman"/>
          <w:sz w:val="24"/>
          <w:szCs w:val="24"/>
        </w:rPr>
        <w:t xml:space="preserve">receive the intervention </w:t>
      </w:r>
      <w:r>
        <w:rPr>
          <w:rFonts w:ascii="Times New Roman" w:hAnsi="Times New Roman"/>
          <w:sz w:val="24"/>
          <w:szCs w:val="24"/>
        </w:rPr>
        <w:t xml:space="preserve">was not large enough to be significant.  Research in this area can continue </w:t>
      </w:r>
      <w:r w:rsidRPr="006D7A8F">
        <w:rPr>
          <w:rFonts w:ascii="Times New Roman" w:hAnsi="Times New Roman"/>
          <w:sz w:val="24"/>
          <w:szCs w:val="24"/>
        </w:rPr>
        <w:t>becaus</w:t>
      </w:r>
      <w:r w:rsidRPr="00964052">
        <w:rPr>
          <w:rFonts w:ascii="Times New Roman" w:hAnsi="Times New Roman"/>
          <w:sz w:val="24"/>
          <w:szCs w:val="24"/>
        </w:rPr>
        <w:t xml:space="preserve">e the sample size was small, the data was skewed due to Covid-19 </w:t>
      </w:r>
      <w:r w:rsidR="003E5A29">
        <w:rPr>
          <w:rFonts w:ascii="Times New Roman" w:hAnsi="Times New Roman"/>
          <w:sz w:val="24"/>
          <w:szCs w:val="24"/>
        </w:rPr>
        <w:t xml:space="preserve">pandemic which resulted in the lack of </w:t>
      </w:r>
      <w:r w:rsidRPr="0015799A">
        <w:rPr>
          <w:rFonts w:ascii="Times New Roman" w:hAnsi="Times New Roman"/>
          <w:sz w:val="24"/>
          <w:szCs w:val="24"/>
        </w:rPr>
        <w:t xml:space="preserve">testing to occur </w:t>
      </w:r>
      <w:r w:rsidR="003E5A29">
        <w:rPr>
          <w:rFonts w:ascii="Times New Roman" w:hAnsi="Times New Roman"/>
          <w:sz w:val="24"/>
          <w:szCs w:val="24"/>
        </w:rPr>
        <w:t xml:space="preserve">during the </w:t>
      </w:r>
      <w:r w:rsidRPr="0015799A">
        <w:rPr>
          <w:rFonts w:ascii="Times New Roman" w:hAnsi="Times New Roman"/>
          <w:sz w:val="24"/>
          <w:szCs w:val="24"/>
        </w:rPr>
        <w:t xml:space="preserve">school year </w:t>
      </w:r>
      <w:r w:rsidR="003E5A29">
        <w:rPr>
          <w:rFonts w:ascii="Times New Roman" w:hAnsi="Times New Roman"/>
          <w:sz w:val="24"/>
          <w:szCs w:val="24"/>
        </w:rPr>
        <w:t>in which the study was conducted. C</w:t>
      </w:r>
      <w:r w:rsidRPr="0015799A">
        <w:rPr>
          <w:rFonts w:ascii="Times New Roman" w:hAnsi="Times New Roman"/>
          <w:sz w:val="24"/>
          <w:szCs w:val="24"/>
        </w:rPr>
        <w:t>ontinued research will provide more detail into the effectiveness of the intervention course’s curriculum</w:t>
      </w:r>
      <w:r w:rsidR="003E5A29">
        <w:rPr>
          <w:rFonts w:ascii="Times New Roman" w:hAnsi="Times New Roman"/>
          <w:sz w:val="24"/>
          <w:szCs w:val="24"/>
        </w:rPr>
        <w:t xml:space="preserve"> when class is taught in the traditional format</w:t>
      </w:r>
      <w:r w:rsidRPr="0015799A">
        <w:rPr>
          <w:rFonts w:ascii="Times New Roman" w:hAnsi="Times New Roman"/>
          <w:sz w:val="24"/>
          <w:szCs w:val="24"/>
        </w:rPr>
        <w:t xml:space="preserve">. </w:t>
      </w:r>
    </w:p>
    <w:p w14:paraId="6BCCD627" w14:textId="77777777" w:rsidR="00740992" w:rsidRPr="0015799A" w:rsidRDefault="00740992" w:rsidP="00740992">
      <w:pPr>
        <w:spacing w:after="0" w:line="480" w:lineRule="auto"/>
        <w:jc w:val="center"/>
        <w:textAlignment w:val="baseline"/>
        <w:rPr>
          <w:rFonts w:ascii="Times New Roman" w:hAnsi="Times New Roman"/>
          <w:sz w:val="24"/>
          <w:szCs w:val="24"/>
        </w:rPr>
      </w:pPr>
      <w:r w:rsidRPr="0015799A">
        <w:rPr>
          <w:rFonts w:ascii="Times New Roman" w:hAnsi="Times New Roman"/>
          <w:b/>
          <w:bCs/>
          <w:caps/>
          <w:sz w:val="24"/>
          <w:szCs w:val="24"/>
        </w:rPr>
        <w:lastRenderedPageBreak/>
        <w:t>CHAPTER 1 </w:t>
      </w:r>
      <w:r w:rsidRPr="0015799A">
        <w:rPr>
          <w:rFonts w:ascii="Times New Roman" w:hAnsi="Times New Roman"/>
          <w:sz w:val="24"/>
          <w:szCs w:val="24"/>
        </w:rPr>
        <w:t> </w:t>
      </w:r>
    </w:p>
    <w:p w14:paraId="2C40928E" w14:textId="77777777" w:rsidR="00740992" w:rsidRPr="0015799A" w:rsidRDefault="00740992" w:rsidP="00740992">
      <w:pPr>
        <w:spacing w:after="0" w:line="480" w:lineRule="auto"/>
        <w:jc w:val="center"/>
        <w:textAlignment w:val="baseline"/>
        <w:rPr>
          <w:rFonts w:ascii="Times New Roman" w:hAnsi="Times New Roman"/>
          <w:sz w:val="24"/>
          <w:szCs w:val="24"/>
        </w:rPr>
      </w:pPr>
      <w:r w:rsidRPr="0015799A">
        <w:rPr>
          <w:rFonts w:ascii="Times New Roman" w:hAnsi="Times New Roman"/>
          <w:b/>
          <w:bCs/>
          <w:caps/>
          <w:sz w:val="24"/>
          <w:szCs w:val="24"/>
        </w:rPr>
        <w:t>INTRODUCTION</w:t>
      </w:r>
      <w:r w:rsidRPr="0015799A">
        <w:rPr>
          <w:rFonts w:ascii="Times New Roman" w:hAnsi="Times New Roman"/>
          <w:sz w:val="24"/>
          <w:szCs w:val="24"/>
        </w:rPr>
        <w:t> </w:t>
      </w:r>
    </w:p>
    <w:p w14:paraId="444309DB" w14:textId="77777777" w:rsidR="00740992" w:rsidRPr="0015799A" w:rsidRDefault="00740992" w:rsidP="00740992">
      <w:pPr>
        <w:spacing w:after="0"/>
        <w:jc w:val="center"/>
        <w:textAlignment w:val="baseline"/>
        <w:rPr>
          <w:rFonts w:ascii="Times New Roman" w:hAnsi="Times New Roman"/>
          <w:sz w:val="24"/>
          <w:szCs w:val="24"/>
        </w:rPr>
      </w:pPr>
      <w:r w:rsidRPr="0015799A">
        <w:rPr>
          <w:rFonts w:ascii="Times New Roman" w:hAnsi="Times New Roman"/>
          <w:b/>
          <w:bCs/>
          <w:sz w:val="24"/>
          <w:szCs w:val="24"/>
        </w:rPr>
        <w:t>Overview</w:t>
      </w:r>
      <w:r w:rsidRPr="0015799A">
        <w:rPr>
          <w:rFonts w:ascii="Times New Roman" w:hAnsi="Times New Roman"/>
          <w:sz w:val="24"/>
          <w:szCs w:val="24"/>
        </w:rPr>
        <w:t> </w:t>
      </w:r>
    </w:p>
    <w:p w14:paraId="5ADE0035" w14:textId="7DC37D89" w:rsidR="00740992" w:rsidRPr="0015799A" w:rsidRDefault="00740992" w:rsidP="004E726A">
      <w:pPr>
        <w:spacing w:line="480" w:lineRule="auto"/>
        <w:ind w:firstLine="720"/>
        <w:rPr>
          <w:rFonts w:ascii="Times New Roman" w:hAnsi="Times New Roman"/>
          <w:sz w:val="24"/>
          <w:szCs w:val="24"/>
        </w:rPr>
      </w:pPr>
      <w:r w:rsidRPr="0015799A">
        <w:rPr>
          <w:rFonts w:ascii="Times New Roman" w:hAnsi="Times New Roman"/>
          <w:sz w:val="24"/>
          <w:szCs w:val="24"/>
        </w:rPr>
        <w:t>All students have an equal opportunity for success.  According to research as summarized in Chapter II of this study, several challenges related to students’ success present themselves. These challenges include, but are not limited to</w:t>
      </w:r>
      <w:r w:rsidRPr="0015799A">
        <w:rPr>
          <w:rFonts w:ascii="Times New Roman" w:hAnsi="Times New Roman"/>
          <w:color w:val="FF0000"/>
          <w:sz w:val="24"/>
          <w:szCs w:val="24"/>
        </w:rPr>
        <w:t> </w:t>
      </w:r>
      <w:r w:rsidRPr="0015799A">
        <w:rPr>
          <w:rFonts w:ascii="Times New Roman" w:hAnsi="Times New Roman"/>
          <w:sz w:val="24"/>
          <w:szCs w:val="24"/>
        </w:rPr>
        <w:t>resources available, funding, academic support and teacher support, the lack of culturally responsive teachers, differentiation in the presentation of material, building rapport with families and students, community partnerships, and state and federal requirements related to education.</w:t>
      </w:r>
      <w:r w:rsidRPr="0015799A">
        <w:rPr>
          <w:rFonts w:ascii="Times New Roman" w:hAnsi="Times New Roman"/>
          <w:color w:val="000000"/>
          <w:sz w:val="24"/>
          <w:szCs w:val="24"/>
        </w:rPr>
        <w:t> </w:t>
      </w:r>
      <w:r w:rsidRPr="0015799A">
        <w:rPr>
          <w:rFonts w:ascii="Times New Roman" w:hAnsi="Times New Roman"/>
          <w:sz w:val="24"/>
          <w:szCs w:val="24"/>
        </w:rPr>
        <w:t xml:space="preserve">Achieving success in mathematics can offer </w:t>
      </w:r>
      <w:r w:rsidR="004C1B85" w:rsidRPr="0015799A">
        <w:rPr>
          <w:rFonts w:ascii="Times New Roman" w:hAnsi="Times New Roman"/>
          <w:sz w:val="24"/>
          <w:szCs w:val="24"/>
        </w:rPr>
        <w:t>challenges</w:t>
      </w:r>
      <w:r w:rsidRPr="0015799A">
        <w:rPr>
          <w:rFonts w:ascii="Times New Roman" w:hAnsi="Times New Roman"/>
          <w:sz w:val="24"/>
          <w:szCs w:val="24"/>
        </w:rPr>
        <w:t xml:space="preserve"> for students with learning disabilities. </w:t>
      </w:r>
      <w:r w:rsidR="004C1B85" w:rsidRPr="0015799A">
        <w:rPr>
          <w:rFonts w:ascii="Times New Roman" w:hAnsi="Times New Roman"/>
          <w:color w:val="000000"/>
          <w:sz w:val="24"/>
          <w:szCs w:val="24"/>
        </w:rPr>
        <w:t xml:space="preserve">According to </w:t>
      </w:r>
      <w:proofErr w:type="spellStart"/>
      <w:r w:rsidR="004C1B85" w:rsidRPr="0015799A">
        <w:rPr>
          <w:rFonts w:ascii="Times New Roman" w:hAnsi="Times New Roman"/>
          <w:color w:val="000000"/>
          <w:sz w:val="24"/>
          <w:szCs w:val="24"/>
        </w:rPr>
        <w:t>Monye</w:t>
      </w:r>
      <w:proofErr w:type="spellEnd"/>
      <w:r w:rsidR="004C1B85" w:rsidRPr="0015799A">
        <w:rPr>
          <w:rFonts w:ascii="Times New Roman" w:hAnsi="Times New Roman"/>
          <w:color w:val="000000"/>
          <w:sz w:val="24"/>
          <w:szCs w:val="24"/>
        </w:rPr>
        <w:t xml:space="preserve"> (2016), students in the US with learning disabilities, specifically mathematics, continue to struggle to acquire new skills and use their prior knowledge to gain the new information being taught. Studies </w:t>
      </w:r>
      <w:r w:rsidR="00323856" w:rsidRPr="0015799A">
        <w:rPr>
          <w:rFonts w:ascii="Times New Roman" w:hAnsi="Times New Roman"/>
          <w:color w:val="000000"/>
          <w:sz w:val="24"/>
          <w:szCs w:val="24"/>
        </w:rPr>
        <w:t>show</w:t>
      </w:r>
      <w:r w:rsidR="004C1B85" w:rsidRPr="0015799A">
        <w:rPr>
          <w:rFonts w:ascii="Times New Roman" w:hAnsi="Times New Roman"/>
          <w:color w:val="000000"/>
          <w:sz w:val="24"/>
          <w:szCs w:val="24"/>
        </w:rPr>
        <w:t xml:space="preserve"> that teachers utilizing more traditional methods to teaching mathematics lack the understanding of differentiation and chunking and information for struggling learners.</w:t>
      </w:r>
    </w:p>
    <w:p w14:paraId="11BACF71"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t>Curricular programs currently available to support students in achieving academic success include the instructional program, Ramp Up to Algebra Intervention (</w:t>
      </w:r>
      <w:proofErr w:type="spellStart"/>
      <w:r w:rsidRPr="0015799A">
        <w:rPr>
          <w:rFonts w:ascii="Times New Roman" w:hAnsi="Times New Roman"/>
          <w:sz w:val="24"/>
          <w:szCs w:val="24"/>
        </w:rPr>
        <w:t>Resendez</w:t>
      </w:r>
      <w:proofErr w:type="spellEnd"/>
      <w:r w:rsidRPr="0015799A">
        <w:rPr>
          <w:rFonts w:ascii="Times New Roman" w:hAnsi="Times New Roman"/>
          <w:sz w:val="24"/>
          <w:szCs w:val="24"/>
        </w:rPr>
        <w:t xml:space="preserve"> &amp; </w:t>
      </w:r>
      <w:proofErr w:type="spellStart"/>
      <w:r w:rsidRPr="0015799A">
        <w:rPr>
          <w:rFonts w:ascii="Times New Roman" w:hAnsi="Times New Roman"/>
          <w:sz w:val="24"/>
          <w:szCs w:val="24"/>
        </w:rPr>
        <w:t>Azin</w:t>
      </w:r>
      <w:proofErr w:type="spellEnd"/>
      <w:r w:rsidRPr="0015799A">
        <w:rPr>
          <w:rFonts w:ascii="Times New Roman" w:hAnsi="Times New Roman"/>
          <w:sz w:val="24"/>
          <w:szCs w:val="24"/>
        </w:rPr>
        <w:t>, 2013). The program</w:t>
      </w:r>
      <w:r w:rsidRPr="0015799A">
        <w:rPr>
          <w:rFonts w:ascii="Times New Roman" w:hAnsi="Times New Roman"/>
          <w:color w:val="FF0000"/>
          <w:sz w:val="24"/>
          <w:szCs w:val="24"/>
        </w:rPr>
        <w:t> </w:t>
      </w:r>
      <w:r w:rsidRPr="0015799A">
        <w:rPr>
          <w:rFonts w:ascii="Times New Roman" w:hAnsi="Times New Roman"/>
          <w:sz w:val="24"/>
          <w:szCs w:val="24"/>
        </w:rPr>
        <w:t>contains six core units: Foundations of Algebra, Expressions, Equations and Exponents, Factions and Fractions, the Number System, Ration and Proportionality and Showing Relationships with Graphs. There are four</w:t>
      </w:r>
      <w:r w:rsidRPr="0015799A">
        <w:rPr>
          <w:rFonts w:ascii="Times New Roman" w:hAnsi="Times New Roman"/>
          <w:color w:val="FF0000"/>
          <w:sz w:val="24"/>
          <w:szCs w:val="24"/>
        </w:rPr>
        <w:t> </w:t>
      </w:r>
      <w:r w:rsidRPr="0015799A">
        <w:rPr>
          <w:rFonts w:ascii="Times New Roman" w:hAnsi="Times New Roman"/>
          <w:sz w:val="24"/>
          <w:szCs w:val="24"/>
        </w:rPr>
        <w:t xml:space="preserve">optional components: Data and Probability, Geometry and Measure, Positive and Negative Numbers, and Using Equations to Solve Problems. The program provides foundational mathematics skills for students and encourages them to think and to become more comfortable with simply talking about math. Ramp Up to Algebra supports </w:t>
      </w:r>
      <w:r w:rsidRPr="0015799A">
        <w:rPr>
          <w:rFonts w:ascii="Times New Roman" w:hAnsi="Times New Roman"/>
          <w:sz w:val="24"/>
          <w:szCs w:val="24"/>
        </w:rPr>
        <w:lastRenderedPageBreak/>
        <w:t>critical thinking by moving beyond what is written, and instead, making connections to previous mathematical experiences/skills (</w:t>
      </w:r>
      <w:proofErr w:type="spellStart"/>
      <w:r w:rsidRPr="0015799A">
        <w:rPr>
          <w:rFonts w:ascii="Times New Roman" w:hAnsi="Times New Roman"/>
          <w:sz w:val="24"/>
          <w:szCs w:val="24"/>
        </w:rPr>
        <w:t>Resendez</w:t>
      </w:r>
      <w:proofErr w:type="spellEnd"/>
      <w:r w:rsidRPr="0015799A">
        <w:rPr>
          <w:rFonts w:ascii="Times New Roman" w:hAnsi="Times New Roman"/>
          <w:sz w:val="24"/>
          <w:szCs w:val="24"/>
        </w:rPr>
        <w:t xml:space="preserve"> &amp; </w:t>
      </w:r>
      <w:proofErr w:type="spellStart"/>
      <w:r w:rsidRPr="0015799A">
        <w:rPr>
          <w:rFonts w:ascii="Times New Roman" w:hAnsi="Times New Roman"/>
          <w:sz w:val="24"/>
          <w:szCs w:val="24"/>
        </w:rPr>
        <w:t>Azin</w:t>
      </w:r>
      <w:proofErr w:type="spellEnd"/>
      <w:r w:rsidRPr="0015799A">
        <w:rPr>
          <w:rFonts w:ascii="Times New Roman" w:hAnsi="Times New Roman"/>
          <w:sz w:val="24"/>
          <w:szCs w:val="24"/>
        </w:rPr>
        <w:t>). </w:t>
      </w:r>
    </w:p>
    <w:p w14:paraId="46B4E1E4"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t>The researcher became interested in this research project in her role as an instructor who has taught this intervention course for seven years. The researcher is very intentional about having students learn and retain the skills they lack before experiencing social promotion to the next grade level. She has a strong desire to make mathematics enjoyable for students and helping to eliminate what often is called “math anxiety.” Because the researcher struggled with mathematical concepts and classes throughout her own school experience, she has some understanding of how the students are feeling when they are not grasping the skills being presented.   </w:t>
      </w:r>
    </w:p>
    <w:p w14:paraId="244AB861"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color w:val="000000"/>
          <w:sz w:val="24"/>
          <w:szCs w:val="24"/>
        </w:rPr>
        <w:t xml:space="preserve">As a special educator, the researcher has gained major perspective into the cognitive profiles of students and the gaps within </w:t>
      </w:r>
      <w:r w:rsidRPr="0015799A">
        <w:rPr>
          <w:rFonts w:ascii="Times New Roman" w:hAnsi="Times New Roman"/>
          <w:sz w:val="24"/>
          <w:szCs w:val="24"/>
        </w:rPr>
        <w:t>their</w:t>
      </w:r>
      <w:r w:rsidRPr="0015799A">
        <w:rPr>
          <w:rFonts w:ascii="Times New Roman" w:hAnsi="Times New Roman"/>
          <w:color w:val="000000"/>
          <w:sz w:val="24"/>
          <w:szCs w:val="24"/>
        </w:rPr>
        <w:t xml:space="preserve"> mathematic skills. Ling and </w:t>
      </w:r>
      <w:proofErr w:type="spellStart"/>
      <w:r w:rsidRPr="0015799A">
        <w:rPr>
          <w:rFonts w:ascii="Times New Roman" w:hAnsi="Times New Roman"/>
          <w:color w:val="000000"/>
          <w:sz w:val="24"/>
          <w:szCs w:val="24"/>
        </w:rPr>
        <w:t>Nasri</w:t>
      </w:r>
      <w:proofErr w:type="spellEnd"/>
      <w:r w:rsidRPr="0015799A">
        <w:rPr>
          <w:rFonts w:ascii="Times New Roman" w:hAnsi="Times New Roman"/>
          <w:color w:val="000000"/>
          <w:sz w:val="24"/>
          <w:szCs w:val="24"/>
        </w:rPr>
        <w:t xml:space="preserve"> (2019) maintain that equity in education means that students with special needs should be well integrated </w:t>
      </w:r>
      <w:r w:rsidRPr="0015799A">
        <w:rPr>
          <w:rFonts w:ascii="Times New Roman" w:hAnsi="Times New Roman"/>
          <w:sz w:val="24"/>
          <w:szCs w:val="24"/>
        </w:rPr>
        <w:t xml:space="preserve">within </w:t>
      </w:r>
      <w:r w:rsidRPr="0015799A">
        <w:rPr>
          <w:rFonts w:ascii="Times New Roman" w:hAnsi="Times New Roman"/>
          <w:strike/>
          <w:color w:val="000000"/>
          <w:sz w:val="24"/>
          <w:szCs w:val="24"/>
        </w:rPr>
        <w:t>into</w:t>
      </w:r>
      <w:r w:rsidRPr="0015799A">
        <w:rPr>
          <w:rFonts w:ascii="Times New Roman" w:hAnsi="Times New Roman"/>
          <w:color w:val="000000"/>
          <w:sz w:val="24"/>
          <w:szCs w:val="24"/>
        </w:rPr>
        <w:t xml:space="preserve"> the school. </w:t>
      </w:r>
      <w:r w:rsidRPr="0015799A">
        <w:rPr>
          <w:rFonts w:ascii="Times New Roman" w:hAnsi="Times New Roman"/>
          <w:sz w:val="24"/>
          <w:szCs w:val="24"/>
        </w:rPr>
        <w:t>The researcher has made a continued effort to examine the data presented by her students. She observed that students participating in Ramp Up to Algebra intervention score an average of level 2 or level 3 on state assessments.  Students who enroll directly in Algebra I typically earn an average of level 2 on state assessments. In reviewing the student’s benchmark scores on the state assessments, it can be determined which skills need to be reviewed or retaught to a small group of students and which students are prepared to move past a specific portion of the skill deficit intervention. It is imperative that the researcher continue to support students while differentiating the required curriculum along with following students’ Individualized Education Plans (IEPs) and services. </w:t>
      </w:r>
    </w:p>
    <w:p w14:paraId="61901ED4"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lastRenderedPageBreak/>
        <w:t xml:space="preserve">Mathematics can be compared to a life skill. Mathematics is a human functioning need; telling time, money management, having grit when a concept becomes extremely challenging. To high school students, mathematics is challenging; especially high school aged students with disabilities/struggles in that subject area. Students often consider the course as a requirement to pass </w:t>
      </w:r>
      <w:proofErr w:type="gramStart"/>
      <w:r w:rsidRPr="0015799A">
        <w:rPr>
          <w:rFonts w:ascii="Times New Roman" w:hAnsi="Times New Roman"/>
          <w:sz w:val="24"/>
          <w:szCs w:val="24"/>
        </w:rPr>
        <w:t>in order to</w:t>
      </w:r>
      <w:proofErr w:type="gramEnd"/>
      <w:r w:rsidRPr="0015799A">
        <w:rPr>
          <w:rFonts w:ascii="Times New Roman" w:hAnsi="Times New Roman"/>
          <w:sz w:val="24"/>
          <w:szCs w:val="24"/>
        </w:rPr>
        <w:t xml:space="preserve"> graduate rather than something they will need to become a contributing member of society. The researcher desires to help her students view mathematics in a positive manner.  </w:t>
      </w:r>
    </w:p>
    <w:p w14:paraId="70FB90B1" w14:textId="77777777" w:rsidR="00740992" w:rsidRPr="0015799A" w:rsidRDefault="00740992" w:rsidP="00740992">
      <w:pPr>
        <w:spacing w:after="0" w:line="480" w:lineRule="auto"/>
        <w:jc w:val="center"/>
        <w:textAlignment w:val="baseline"/>
        <w:rPr>
          <w:rFonts w:ascii="Times New Roman" w:hAnsi="Times New Roman"/>
          <w:sz w:val="24"/>
          <w:szCs w:val="24"/>
        </w:rPr>
      </w:pPr>
      <w:r w:rsidRPr="0015799A">
        <w:rPr>
          <w:rFonts w:ascii="Times New Roman" w:hAnsi="Times New Roman"/>
          <w:b/>
          <w:bCs/>
          <w:sz w:val="24"/>
          <w:szCs w:val="24"/>
        </w:rPr>
        <w:t> </w:t>
      </w:r>
      <w:r w:rsidRPr="0015799A">
        <w:rPr>
          <w:rFonts w:ascii="Times New Roman" w:hAnsi="Times New Roman"/>
          <w:sz w:val="24"/>
          <w:szCs w:val="24"/>
        </w:rPr>
        <w:t> </w:t>
      </w:r>
      <w:r w:rsidRPr="0015799A">
        <w:rPr>
          <w:rFonts w:ascii="Times New Roman" w:hAnsi="Times New Roman"/>
          <w:b/>
          <w:bCs/>
          <w:sz w:val="24"/>
          <w:szCs w:val="24"/>
        </w:rPr>
        <w:t>Statement of Problem</w:t>
      </w:r>
      <w:r w:rsidRPr="0015799A">
        <w:rPr>
          <w:rFonts w:ascii="Times New Roman" w:hAnsi="Times New Roman"/>
          <w:sz w:val="24"/>
          <w:szCs w:val="24"/>
        </w:rPr>
        <w:t> </w:t>
      </w:r>
    </w:p>
    <w:p w14:paraId="7DEAC2CB"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t>Student enrolled in Ramp Up to Algebra Intervention have a large gap or large gaps in their mathematics skills. It is the researcher’s responsibility and duty to close the gap as much as possible, prepare students to enroll in Algebra I class, and pass the state required assessment. The purpose of this study is to determine whether an equitable education across areas of</w:t>
      </w:r>
      <w:r w:rsidRPr="0015799A">
        <w:rPr>
          <w:rFonts w:ascii="Times New Roman" w:hAnsi="Times New Roman"/>
          <w:color w:val="FF0000"/>
          <w:sz w:val="24"/>
          <w:szCs w:val="24"/>
        </w:rPr>
        <w:t xml:space="preserve"> </w:t>
      </w:r>
      <w:r w:rsidRPr="0015799A">
        <w:rPr>
          <w:rFonts w:ascii="Times New Roman" w:hAnsi="Times New Roman"/>
          <w:sz w:val="24"/>
          <w:szCs w:val="24"/>
        </w:rPr>
        <w:t>race, instruction, interventions, and disability is attainable and whether students enrolled in an intervention ultimately perform better than students who are not enrolled. This concept relates to providing educational equity for all students.  </w:t>
      </w:r>
    </w:p>
    <w:p w14:paraId="323FE68D" w14:textId="77777777" w:rsidR="00740992" w:rsidRPr="0015799A" w:rsidRDefault="00740992" w:rsidP="00740992">
      <w:pPr>
        <w:spacing w:after="0" w:line="480" w:lineRule="auto"/>
        <w:ind w:firstLine="720"/>
        <w:jc w:val="center"/>
        <w:textAlignment w:val="baseline"/>
        <w:rPr>
          <w:rFonts w:ascii="Times New Roman" w:hAnsi="Times New Roman"/>
          <w:sz w:val="24"/>
          <w:szCs w:val="24"/>
        </w:rPr>
      </w:pPr>
      <w:r w:rsidRPr="0015799A">
        <w:rPr>
          <w:rFonts w:ascii="Times New Roman" w:hAnsi="Times New Roman"/>
          <w:b/>
          <w:bCs/>
          <w:sz w:val="24"/>
          <w:szCs w:val="24"/>
        </w:rPr>
        <w:t>Hypothesis</w:t>
      </w:r>
      <w:r w:rsidRPr="0015799A">
        <w:rPr>
          <w:rFonts w:ascii="Times New Roman" w:hAnsi="Times New Roman"/>
          <w:sz w:val="24"/>
          <w:szCs w:val="24"/>
        </w:rPr>
        <w:t> </w:t>
      </w:r>
    </w:p>
    <w:p w14:paraId="587C6BFD"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t>This study focuses on equity in schools as it specifically relates to mathematics. For the study to be clear and provide a wide range of data points, equity in schools across several topics will be discussed and researched. It was first hypothesized that students who are enrolled in Ramp Up to Algebra Intervention would earn higher scores on benchmark assessments and state required assessments than those students who do not participate in this intervention. The researcher will determine this outcome by reviewing the dependent variable of student performance on benchmark assessment results.  </w:t>
      </w:r>
    </w:p>
    <w:p w14:paraId="516E6B0D" w14:textId="77777777" w:rsidR="00045569" w:rsidRDefault="00045569" w:rsidP="00740992">
      <w:pPr>
        <w:spacing w:after="0" w:line="480" w:lineRule="auto"/>
        <w:jc w:val="center"/>
        <w:textAlignment w:val="baseline"/>
        <w:rPr>
          <w:rFonts w:ascii="Times New Roman" w:hAnsi="Times New Roman"/>
          <w:b/>
          <w:bCs/>
          <w:sz w:val="24"/>
          <w:szCs w:val="24"/>
        </w:rPr>
      </w:pPr>
    </w:p>
    <w:p w14:paraId="3847AEAA" w14:textId="08481C32" w:rsidR="00740992" w:rsidRPr="0015799A" w:rsidRDefault="00740992" w:rsidP="00740992">
      <w:pPr>
        <w:spacing w:after="0" w:line="480" w:lineRule="auto"/>
        <w:jc w:val="center"/>
        <w:textAlignment w:val="baseline"/>
        <w:rPr>
          <w:rFonts w:ascii="Times New Roman" w:hAnsi="Times New Roman"/>
          <w:sz w:val="24"/>
          <w:szCs w:val="24"/>
        </w:rPr>
      </w:pPr>
      <w:r w:rsidRPr="0015799A">
        <w:rPr>
          <w:rFonts w:ascii="Times New Roman" w:hAnsi="Times New Roman"/>
          <w:b/>
          <w:bCs/>
          <w:sz w:val="24"/>
          <w:szCs w:val="24"/>
        </w:rPr>
        <w:lastRenderedPageBreak/>
        <w:t>Operational Definitions</w:t>
      </w:r>
      <w:r w:rsidRPr="0015799A">
        <w:rPr>
          <w:rFonts w:ascii="Times New Roman" w:hAnsi="Times New Roman"/>
          <w:sz w:val="24"/>
          <w:szCs w:val="24"/>
        </w:rPr>
        <w:t> </w:t>
      </w:r>
    </w:p>
    <w:p w14:paraId="31047CDC"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b/>
          <w:bCs/>
          <w:sz w:val="24"/>
          <w:szCs w:val="24"/>
        </w:rPr>
        <w:t>Equity and student achievement:</w:t>
      </w:r>
      <w:r w:rsidRPr="0015799A">
        <w:rPr>
          <w:rFonts w:ascii="Times New Roman" w:hAnsi="Times New Roman"/>
          <w:sz w:val="24"/>
          <w:szCs w:val="24"/>
        </w:rPr>
        <w:t xml:space="preserve"> for purposes of this study, these factors will be measured via benchmark scores for students who are enrolled in Ramp Up to </w:t>
      </w:r>
      <w:proofErr w:type="gramStart"/>
      <w:r w:rsidRPr="0015799A">
        <w:rPr>
          <w:rFonts w:ascii="Times New Roman" w:hAnsi="Times New Roman"/>
          <w:sz w:val="24"/>
          <w:szCs w:val="24"/>
        </w:rPr>
        <w:t>Algebra  Intervention</w:t>
      </w:r>
      <w:proofErr w:type="gramEnd"/>
      <w:r w:rsidRPr="0015799A">
        <w:rPr>
          <w:rFonts w:ascii="Times New Roman" w:hAnsi="Times New Roman"/>
          <w:sz w:val="24"/>
          <w:szCs w:val="24"/>
        </w:rPr>
        <w:t>, and benchmark scores for students who are currently enrolled in Algebra I, without having participated in the intervention.  </w:t>
      </w:r>
    </w:p>
    <w:p w14:paraId="1436DA3E"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b/>
          <w:bCs/>
          <w:sz w:val="24"/>
          <w:szCs w:val="24"/>
        </w:rPr>
        <w:t>Student achievement variables</w:t>
      </w:r>
      <w:r w:rsidRPr="0015799A">
        <w:rPr>
          <w:rFonts w:ascii="Times New Roman" w:hAnsi="Times New Roman"/>
          <w:sz w:val="24"/>
          <w:szCs w:val="24"/>
        </w:rPr>
        <w:t> include teacher collaboration, school culture, rapport built with students/families and students’ prior knowledge with the content and their attitude about the subject (</w:t>
      </w:r>
      <w:proofErr w:type="spellStart"/>
      <w:r w:rsidRPr="0015799A">
        <w:rPr>
          <w:rFonts w:ascii="Times New Roman" w:hAnsi="Times New Roman"/>
          <w:sz w:val="24"/>
          <w:szCs w:val="24"/>
        </w:rPr>
        <w:t>Oldac</w:t>
      </w:r>
      <w:proofErr w:type="spellEnd"/>
      <w:r w:rsidRPr="0015799A">
        <w:rPr>
          <w:rFonts w:ascii="Times New Roman" w:hAnsi="Times New Roman"/>
          <w:sz w:val="24"/>
          <w:szCs w:val="24"/>
        </w:rPr>
        <w:t> &amp; </w:t>
      </w:r>
      <w:proofErr w:type="spellStart"/>
      <w:r w:rsidRPr="0015799A">
        <w:rPr>
          <w:rFonts w:ascii="Times New Roman" w:hAnsi="Times New Roman"/>
          <w:sz w:val="24"/>
          <w:szCs w:val="24"/>
        </w:rPr>
        <w:t>Kondakci</w:t>
      </w:r>
      <w:proofErr w:type="spellEnd"/>
      <w:r w:rsidRPr="0015799A">
        <w:rPr>
          <w:rFonts w:ascii="Times New Roman" w:hAnsi="Times New Roman"/>
          <w:sz w:val="24"/>
          <w:szCs w:val="24"/>
        </w:rPr>
        <w:t> 2020).    </w:t>
      </w:r>
    </w:p>
    <w:p w14:paraId="175F3998"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sz w:val="24"/>
          <w:szCs w:val="24"/>
        </w:rPr>
        <w:t> </w:t>
      </w:r>
      <w:r w:rsidRPr="0015799A">
        <w:rPr>
          <w:rFonts w:ascii="Times New Roman" w:hAnsi="Times New Roman"/>
          <w:b/>
          <w:bCs/>
          <w:sz w:val="24"/>
          <w:szCs w:val="24"/>
        </w:rPr>
        <w:t>Teacher collaboration</w:t>
      </w:r>
      <w:r w:rsidRPr="0015799A">
        <w:rPr>
          <w:rFonts w:ascii="Times New Roman" w:hAnsi="Times New Roman"/>
          <w:sz w:val="24"/>
          <w:szCs w:val="24"/>
        </w:rPr>
        <w:t> is important because lessons should be engaging, and content rich while being differentiated to meet each student’s needs. Collaborating as professionals allows each teacher to take the lead in instruction and enables each teacher the flexibility to provide specially designed instruction and IEP services.  </w:t>
      </w:r>
    </w:p>
    <w:p w14:paraId="3B31311E"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b/>
          <w:bCs/>
          <w:sz w:val="24"/>
          <w:szCs w:val="24"/>
        </w:rPr>
        <w:t>School</w:t>
      </w:r>
      <w:r w:rsidRPr="0015799A">
        <w:rPr>
          <w:rFonts w:ascii="Times New Roman" w:hAnsi="Times New Roman"/>
          <w:sz w:val="24"/>
          <w:szCs w:val="24"/>
        </w:rPr>
        <w:t xml:space="preserve"> </w:t>
      </w:r>
      <w:r w:rsidRPr="0015799A">
        <w:rPr>
          <w:rFonts w:ascii="Times New Roman" w:hAnsi="Times New Roman"/>
          <w:b/>
          <w:bCs/>
          <w:sz w:val="24"/>
          <w:szCs w:val="24"/>
        </w:rPr>
        <w:t>culture </w:t>
      </w:r>
      <w:r w:rsidRPr="0015799A">
        <w:rPr>
          <w:rFonts w:ascii="Times New Roman" w:hAnsi="Times New Roman"/>
          <w:sz w:val="24"/>
          <w:szCs w:val="24"/>
        </w:rPr>
        <w:t>affects how students feel when they are in the school building; if they feel welcomed and valued, they will perform better on assignments and comprehend material more effectively. Building appropriate rapport with students and families allows them to feel comfortable with asking clarifying questions and advocating for their own needs.  </w:t>
      </w:r>
    </w:p>
    <w:p w14:paraId="69362EE0" w14:textId="77777777" w:rsidR="00740992" w:rsidRPr="0015799A" w:rsidRDefault="00740992" w:rsidP="00740992">
      <w:pPr>
        <w:spacing w:after="0" w:line="480" w:lineRule="auto"/>
        <w:ind w:firstLine="720"/>
        <w:textAlignment w:val="baseline"/>
        <w:rPr>
          <w:rFonts w:ascii="Times New Roman" w:hAnsi="Times New Roman"/>
          <w:sz w:val="24"/>
          <w:szCs w:val="24"/>
        </w:rPr>
      </w:pPr>
      <w:r w:rsidRPr="0015799A">
        <w:rPr>
          <w:rFonts w:ascii="Times New Roman" w:hAnsi="Times New Roman"/>
          <w:b/>
          <w:bCs/>
          <w:sz w:val="24"/>
          <w:szCs w:val="24"/>
        </w:rPr>
        <w:t>Perception about mathematics:</w:t>
      </w:r>
      <w:r w:rsidRPr="0015799A">
        <w:rPr>
          <w:rFonts w:ascii="Times New Roman" w:hAnsi="Times New Roman"/>
          <w:sz w:val="24"/>
          <w:szCs w:val="24"/>
        </w:rPr>
        <w:t xml:space="preserve"> Getting to know students and their attitudes towards mathematics allows the teacher(s) opportunities to change the students’ perception about mathematics. If a student has a negative outlook about mathematics because of a prior</w:t>
      </w:r>
      <w:r w:rsidRPr="0015799A">
        <w:rPr>
          <w:rFonts w:ascii="Times New Roman" w:hAnsi="Times New Roman"/>
          <w:strike/>
          <w:sz w:val="24"/>
          <w:szCs w:val="24"/>
        </w:rPr>
        <w:t> </w:t>
      </w:r>
      <w:r w:rsidRPr="0015799A">
        <w:rPr>
          <w:rFonts w:ascii="Times New Roman" w:hAnsi="Times New Roman"/>
          <w:sz w:val="24"/>
          <w:szCs w:val="24"/>
        </w:rPr>
        <w:t>experience, it is important to work hard on changing that outlook. Making mathematics engaging and fun will assist teachers to increase the students’ desire to do well in class. </w:t>
      </w:r>
    </w:p>
    <w:p w14:paraId="5EB1458D" w14:textId="77777777" w:rsidR="00740992" w:rsidRPr="00061E75" w:rsidRDefault="00740992" w:rsidP="00740992">
      <w:pPr>
        <w:spacing w:line="480" w:lineRule="auto"/>
        <w:jc w:val="center"/>
        <w:rPr>
          <w:rFonts w:ascii="Times New Roman" w:eastAsia="Times New Roman" w:hAnsi="Times New Roman"/>
          <w:b/>
          <w:bCs/>
          <w:sz w:val="24"/>
          <w:szCs w:val="24"/>
        </w:rPr>
      </w:pPr>
      <w:r>
        <w:rPr>
          <w:rFonts w:ascii="Times New Roman" w:eastAsia="Times New Roman" w:hAnsi="Times New Roman"/>
          <w:b/>
          <w:bCs/>
          <w:sz w:val="24"/>
          <w:szCs w:val="24"/>
        </w:rPr>
        <w:br w:type="page"/>
      </w:r>
      <w:r w:rsidRPr="00061E75">
        <w:rPr>
          <w:rFonts w:ascii="Times New Roman" w:eastAsia="Times New Roman" w:hAnsi="Times New Roman"/>
          <w:b/>
          <w:bCs/>
          <w:sz w:val="24"/>
          <w:szCs w:val="24"/>
        </w:rPr>
        <w:lastRenderedPageBreak/>
        <w:t>CHAPTER II</w:t>
      </w:r>
    </w:p>
    <w:p w14:paraId="51C62DEE" w14:textId="77777777" w:rsidR="00740992" w:rsidRPr="00061E75" w:rsidRDefault="00740992" w:rsidP="00740992">
      <w:pPr>
        <w:spacing w:line="480" w:lineRule="auto"/>
        <w:jc w:val="center"/>
        <w:rPr>
          <w:rFonts w:ascii="Times New Roman" w:eastAsia="Times New Roman" w:hAnsi="Times New Roman"/>
          <w:caps/>
          <w:sz w:val="24"/>
          <w:szCs w:val="24"/>
        </w:rPr>
      </w:pPr>
      <w:r w:rsidRPr="00061E75">
        <w:rPr>
          <w:rFonts w:ascii="Times New Roman" w:eastAsia="Times New Roman" w:hAnsi="Times New Roman"/>
          <w:b/>
          <w:bCs/>
          <w:caps/>
          <w:sz w:val="24"/>
          <w:szCs w:val="24"/>
        </w:rPr>
        <w:t>Review of the Literature</w:t>
      </w:r>
    </w:p>
    <w:p w14:paraId="3ADCD908"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This literature review discusses issues related to equity in public schools and how different types of teaching styles are needed to ensure student success. The first section explores the definition of equity and how it affects education and students. The second section discusses different types of equity that need to be addressed in schools, and includes issues related to race, participation in special education, and participation in courses in specific content areas. The third section discusses how to present concepts of equity to students and how to encourage and sustain equitable practices. The fourth section discusses implementing valuable curriculum for students that focuses on equity. The fifth, and final section discusses the barriers that teachers continue to face and how teachers can work to overcome the equity challenges that are presented. </w:t>
      </w:r>
    </w:p>
    <w:p w14:paraId="457ECC04"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Definition of Equity and its Effect on Students</w:t>
      </w:r>
    </w:p>
    <w:p w14:paraId="2C659391"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Equity in the educational setting currently is receiving greater national emphasis with the goal of ensuring equal access to instruction for all students and families. There is a need to address both racial equity and disability equity, with emphasis on improving current practices and policies. Ling and </w:t>
      </w:r>
      <w:proofErr w:type="spellStart"/>
      <w:r w:rsidRPr="00061E75">
        <w:rPr>
          <w:rFonts w:ascii="Times New Roman" w:eastAsia="Times New Roman" w:hAnsi="Times New Roman"/>
          <w:sz w:val="24"/>
          <w:szCs w:val="24"/>
        </w:rPr>
        <w:t>Nasri</w:t>
      </w:r>
      <w:proofErr w:type="spellEnd"/>
      <w:r w:rsidRPr="00061E75">
        <w:rPr>
          <w:rFonts w:ascii="Times New Roman" w:eastAsia="Times New Roman" w:hAnsi="Times New Roman"/>
          <w:sz w:val="24"/>
          <w:szCs w:val="24"/>
        </w:rPr>
        <w:t xml:space="preserve"> (2019) assert that measuring equity should be done in such a way that promotes educational achievement for every student. These authors maintain that although every student is eligible and entitled to equitable education, there are many challenges and roadblocks with effective implementation of equitable education for all. Among the challenges identified by Ling and </w:t>
      </w:r>
      <w:proofErr w:type="spellStart"/>
      <w:r w:rsidRPr="00061E75">
        <w:rPr>
          <w:rFonts w:ascii="Times New Roman" w:eastAsia="Times New Roman" w:hAnsi="Times New Roman"/>
          <w:sz w:val="24"/>
          <w:szCs w:val="24"/>
        </w:rPr>
        <w:t>Nasri</w:t>
      </w:r>
      <w:proofErr w:type="spellEnd"/>
      <w:r w:rsidRPr="00061E75">
        <w:rPr>
          <w:rFonts w:ascii="Times New Roman" w:eastAsia="Times New Roman" w:hAnsi="Times New Roman"/>
          <w:sz w:val="24"/>
          <w:szCs w:val="24"/>
        </w:rPr>
        <w:t xml:space="preserve"> are providing effective teacher professional development and meeting specific needs of the student population. </w:t>
      </w:r>
      <w:proofErr w:type="gramStart"/>
      <w:r w:rsidRPr="00061E75">
        <w:rPr>
          <w:rFonts w:ascii="Times New Roman" w:eastAsia="Times New Roman" w:hAnsi="Times New Roman"/>
          <w:sz w:val="24"/>
          <w:szCs w:val="24"/>
        </w:rPr>
        <w:t>In order to</w:t>
      </w:r>
      <w:proofErr w:type="gramEnd"/>
      <w:r w:rsidRPr="00061E75">
        <w:rPr>
          <w:rFonts w:ascii="Times New Roman" w:eastAsia="Times New Roman" w:hAnsi="Times New Roman"/>
          <w:sz w:val="24"/>
          <w:szCs w:val="24"/>
        </w:rPr>
        <w:t xml:space="preserve"> address these challenges, an important initial step in ensuring equitable education for all students is having the school build </w:t>
      </w:r>
      <w:r w:rsidRPr="00061E75">
        <w:rPr>
          <w:rFonts w:ascii="Times New Roman" w:eastAsia="Times New Roman" w:hAnsi="Times New Roman"/>
          <w:sz w:val="24"/>
          <w:szCs w:val="24"/>
        </w:rPr>
        <w:lastRenderedPageBreak/>
        <w:t xml:space="preserve">rapport with families and community members to foster positive relationships and provide students with multiple opportunities to learn via different modalities.  </w:t>
      </w:r>
    </w:p>
    <w:p w14:paraId="4FDADA8C"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Equity in Schools</w:t>
      </w:r>
    </w:p>
    <w:p w14:paraId="19FF0188"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Issues related to equity in the nation’s schools are broad-based. Among these issues are persistent concerns regarding racial equity and disability, or special education equity. Another equity concern relates to individual areas of study, such as mathematics. These concerns are discussed below.</w:t>
      </w:r>
    </w:p>
    <w:p w14:paraId="66EA7B9F" w14:textId="77777777" w:rsidR="00740992" w:rsidRPr="00061E75" w:rsidRDefault="00740992" w:rsidP="00740992">
      <w:pPr>
        <w:spacing w:line="480" w:lineRule="auto"/>
        <w:rPr>
          <w:rFonts w:ascii="Times New Roman" w:hAnsi="Times New Roman"/>
          <w:b/>
          <w:bCs/>
          <w:sz w:val="24"/>
          <w:szCs w:val="24"/>
        </w:rPr>
      </w:pPr>
      <w:r w:rsidRPr="00061E75">
        <w:rPr>
          <w:rFonts w:ascii="Times New Roman" w:hAnsi="Times New Roman"/>
          <w:b/>
          <w:bCs/>
          <w:sz w:val="24"/>
          <w:szCs w:val="24"/>
        </w:rPr>
        <w:t>Racial Equity</w:t>
      </w:r>
    </w:p>
    <w:p w14:paraId="4C956BF6" w14:textId="68DFF0BA"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Racism is about institutional power to maintain racial hierarchy (Gustafson et al., 2020). According to Gustafson et al., education within the nation initially was designed primarily to educate white males. In the current educational context, the topics of race and gender regularly are emphasized and offer a different lens with which to view educational practice and policies. Although student demographics have changed significantly in terms of race, the way in which schools are operated, particularly in schools located in high social economic areas, continues to be dominated by white males. </w:t>
      </w:r>
      <w:r w:rsidR="00E83C0E">
        <w:rPr>
          <w:rFonts w:ascii="Times New Roman" w:eastAsia="Times New Roman" w:hAnsi="Times New Roman"/>
          <w:sz w:val="24"/>
          <w:szCs w:val="24"/>
        </w:rPr>
        <w:t xml:space="preserve">Riegle-Crumb and </w:t>
      </w:r>
      <w:proofErr w:type="spellStart"/>
      <w:r w:rsidR="00E83C0E">
        <w:rPr>
          <w:rFonts w:ascii="Times New Roman" w:eastAsia="Times New Roman" w:hAnsi="Times New Roman"/>
          <w:sz w:val="24"/>
          <w:szCs w:val="24"/>
        </w:rPr>
        <w:t>Grodsky</w:t>
      </w:r>
      <w:proofErr w:type="spellEnd"/>
      <w:r w:rsidR="00E83C0E">
        <w:rPr>
          <w:rFonts w:ascii="Times New Roman" w:eastAsia="Times New Roman" w:hAnsi="Times New Roman"/>
          <w:sz w:val="24"/>
          <w:szCs w:val="24"/>
        </w:rPr>
        <w:t xml:space="preserve"> </w:t>
      </w:r>
      <w:r w:rsidR="003E4424">
        <w:rPr>
          <w:rFonts w:ascii="Times New Roman" w:eastAsia="Times New Roman" w:hAnsi="Times New Roman"/>
          <w:sz w:val="24"/>
          <w:szCs w:val="24"/>
        </w:rPr>
        <w:t xml:space="preserve">(2010) </w:t>
      </w:r>
      <w:r w:rsidR="00E83C0E">
        <w:rPr>
          <w:rFonts w:ascii="Times New Roman" w:eastAsia="Times New Roman" w:hAnsi="Times New Roman"/>
          <w:sz w:val="24"/>
          <w:szCs w:val="24"/>
        </w:rPr>
        <w:t xml:space="preserve">acknowledge that fact of </w:t>
      </w:r>
      <w:r w:rsidR="00893ADD">
        <w:rPr>
          <w:rFonts w:ascii="Times New Roman" w:eastAsia="Times New Roman" w:hAnsi="Times New Roman"/>
          <w:sz w:val="24"/>
          <w:szCs w:val="24"/>
        </w:rPr>
        <w:t xml:space="preserve">increased representation of African American and Hispanic youth in advanced mathematics courses, but also note that national reports continue to display substantial inequality in student achievement. </w:t>
      </w:r>
      <w:r w:rsidR="004A337B">
        <w:rPr>
          <w:rFonts w:ascii="Times New Roman" w:eastAsia="Times New Roman" w:hAnsi="Times New Roman"/>
          <w:sz w:val="24"/>
          <w:szCs w:val="24"/>
        </w:rPr>
        <w:t xml:space="preserve">They note that despite the growth in representation, the achievement </w:t>
      </w:r>
      <w:r w:rsidR="004C2773">
        <w:rPr>
          <w:rFonts w:ascii="Times New Roman" w:eastAsia="Times New Roman" w:hAnsi="Times New Roman"/>
          <w:sz w:val="24"/>
          <w:szCs w:val="24"/>
        </w:rPr>
        <w:t>inequalities</w:t>
      </w:r>
      <w:r w:rsidR="004A337B">
        <w:rPr>
          <w:rFonts w:ascii="Times New Roman" w:eastAsia="Times New Roman" w:hAnsi="Times New Roman"/>
          <w:sz w:val="24"/>
          <w:szCs w:val="24"/>
        </w:rPr>
        <w:t xml:space="preserve"> </w:t>
      </w:r>
      <w:r w:rsidR="004C2773">
        <w:rPr>
          <w:rFonts w:ascii="Times New Roman" w:eastAsia="Times New Roman" w:hAnsi="Times New Roman"/>
          <w:sz w:val="24"/>
          <w:szCs w:val="24"/>
        </w:rPr>
        <w:t xml:space="preserve">can hinder one’s optimism about the degree to which the U.S. has made real progress toward educational equity. </w:t>
      </w:r>
      <w:r w:rsidRPr="00061E75">
        <w:rPr>
          <w:rFonts w:ascii="Times New Roman" w:eastAsia="Times New Roman" w:hAnsi="Times New Roman"/>
          <w:sz w:val="24"/>
          <w:szCs w:val="24"/>
        </w:rPr>
        <w:t xml:space="preserve">By 2025, enrollment in public elementary and secondary schools is projected to increase 18 percent for students who are Hispanic; 21 percent for students who are </w:t>
      </w:r>
      <w:r w:rsidRPr="00061E75">
        <w:rPr>
          <w:rFonts w:ascii="Times New Roman" w:eastAsia="Times New Roman" w:hAnsi="Times New Roman"/>
          <w:sz w:val="24"/>
          <w:szCs w:val="24"/>
        </w:rPr>
        <w:lastRenderedPageBreak/>
        <w:t>Asian/Pacific Islander, and 23 percent for students who are of two or more races (</w:t>
      </w:r>
      <w:r w:rsidR="00387B1A" w:rsidRPr="00061E75">
        <w:rPr>
          <w:rFonts w:ascii="Times New Roman" w:eastAsia="Times New Roman" w:hAnsi="Times New Roman"/>
          <w:sz w:val="24"/>
          <w:szCs w:val="24"/>
        </w:rPr>
        <w:t>Gustafson et al.,</w:t>
      </w:r>
      <w:r w:rsidRPr="00061E75">
        <w:rPr>
          <w:rFonts w:ascii="Times New Roman" w:eastAsia="Times New Roman" w:hAnsi="Times New Roman"/>
          <w:sz w:val="24"/>
          <w:szCs w:val="24"/>
        </w:rPr>
        <w:t xml:space="preserve">). </w:t>
      </w:r>
    </w:p>
    <w:p w14:paraId="1B5B971C" w14:textId="77777777" w:rsidR="00740992" w:rsidRPr="00A21ECD" w:rsidRDefault="00740992" w:rsidP="00740992">
      <w:pPr>
        <w:spacing w:line="480" w:lineRule="auto"/>
        <w:ind w:firstLine="720"/>
        <w:rPr>
          <w:rFonts w:ascii="Times New Roman" w:eastAsia="Times New Roman" w:hAnsi="Times New Roman"/>
          <w:color w:val="000000"/>
          <w:sz w:val="24"/>
          <w:szCs w:val="24"/>
        </w:rPr>
      </w:pPr>
      <w:proofErr w:type="gramStart"/>
      <w:r w:rsidRPr="00061E75">
        <w:rPr>
          <w:rFonts w:ascii="Times New Roman" w:eastAsia="Times New Roman" w:hAnsi="Times New Roman"/>
          <w:sz w:val="24"/>
          <w:szCs w:val="24"/>
        </w:rPr>
        <w:t>In order to</w:t>
      </w:r>
      <w:proofErr w:type="gramEnd"/>
      <w:r w:rsidRPr="00061E75">
        <w:rPr>
          <w:rFonts w:ascii="Times New Roman" w:eastAsia="Times New Roman" w:hAnsi="Times New Roman"/>
          <w:sz w:val="24"/>
          <w:szCs w:val="24"/>
        </w:rPr>
        <w:t xml:space="preserve"> provide equal opportunities for all students, teachers need to be trained to handle situations related to racial injustice. </w:t>
      </w:r>
      <w:proofErr w:type="spellStart"/>
      <w:r w:rsidRPr="00061E75">
        <w:rPr>
          <w:rFonts w:ascii="Times New Roman" w:eastAsia="Times New Roman" w:hAnsi="Times New Roman"/>
          <w:sz w:val="24"/>
          <w:szCs w:val="24"/>
        </w:rPr>
        <w:t>Fabionar</w:t>
      </w:r>
      <w:proofErr w:type="spellEnd"/>
      <w:r w:rsidRPr="00061E75">
        <w:rPr>
          <w:rFonts w:ascii="Times New Roman" w:eastAsia="Times New Roman" w:hAnsi="Times New Roman"/>
          <w:sz w:val="24"/>
          <w:szCs w:val="24"/>
        </w:rPr>
        <w:t xml:space="preserve"> (2020) explains that many teacher professional development programs are being created to ensure teachers are better prepared with tools to address racial injustice. Providing supports to schools to ensure advocacy and equity poses numerous challenges for teachers. Challenges and roadblocks identified by </w:t>
      </w:r>
      <w:proofErr w:type="spellStart"/>
      <w:r w:rsidRPr="00061E75">
        <w:rPr>
          <w:rFonts w:ascii="Times New Roman" w:eastAsia="Times New Roman" w:hAnsi="Times New Roman"/>
          <w:sz w:val="24"/>
          <w:szCs w:val="24"/>
        </w:rPr>
        <w:t>Fabionar</w:t>
      </w:r>
      <w:proofErr w:type="spellEnd"/>
      <w:r w:rsidRPr="00061E75">
        <w:rPr>
          <w:rFonts w:ascii="Times New Roman" w:eastAsia="Times New Roman" w:hAnsi="Times New Roman"/>
          <w:sz w:val="24"/>
          <w:szCs w:val="24"/>
        </w:rPr>
        <w:t xml:space="preserve"> include limited time, inadequate materials, lack of sufficient finances and resources, and pressure to follow the practices previously established by the school or school district. The opportunities for teachers to learn about equity should include professional development with a strong focus on equity related theories and practices so that teachers are able to comprehend and recognize opportunities to make meaningful, equitable change. To translate theory into equitable practice,</w:t>
      </w:r>
      <w:r w:rsidRPr="00A21ECD">
        <w:rPr>
          <w:rFonts w:ascii="Times New Roman" w:eastAsia="Times New Roman" w:hAnsi="Times New Roman"/>
          <w:color w:val="000000"/>
          <w:sz w:val="24"/>
          <w:szCs w:val="24"/>
        </w:rPr>
        <w:t xml:space="preserve"> teachers and school leaders must present a united front and provide strategies and interventions that enable educational achievement gaps among students to close (</w:t>
      </w:r>
      <w:proofErr w:type="spellStart"/>
      <w:r w:rsidRPr="00A21ECD">
        <w:rPr>
          <w:rFonts w:ascii="Times New Roman" w:eastAsia="Times New Roman" w:hAnsi="Times New Roman"/>
          <w:color w:val="000000"/>
          <w:sz w:val="24"/>
          <w:szCs w:val="24"/>
        </w:rPr>
        <w:t>Fabionar</w:t>
      </w:r>
      <w:proofErr w:type="spellEnd"/>
      <w:r w:rsidRPr="00A21ECD">
        <w:rPr>
          <w:rFonts w:ascii="Times New Roman" w:eastAsia="Times New Roman" w:hAnsi="Times New Roman"/>
          <w:color w:val="000000"/>
          <w:sz w:val="24"/>
          <w:szCs w:val="24"/>
        </w:rPr>
        <w:t xml:space="preserve">).  </w:t>
      </w:r>
    </w:p>
    <w:p w14:paraId="23C0BF60" w14:textId="77777777" w:rsidR="00740992" w:rsidRPr="00061E75" w:rsidRDefault="00740992" w:rsidP="00740992">
      <w:pPr>
        <w:spacing w:line="480" w:lineRule="auto"/>
        <w:rPr>
          <w:rFonts w:ascii="Times New Roman" w:hAnsi="Times New Roman"/>
          <w:b/>
          <w:bCs/>
          <w:sz w:val="24"/>
          <w:szCs w:val="24"/>
        </w:rPr>
      </w:pPr>
      <w:r w:rsidRPr="00061E75">
        <w:rPr>
          <w:rFonts w:ascii="Times New Roman" w:hAnsi="Times New Roman"/>
          <w:b/>
          <w:bCs/>
          <w:sz w:val="24"/>
          <w:szCs w:val="24"/>
        </w:rPr>
        <w:t>Special Education Equity</w:t>
      </w:r>
    </w:p>
    <w:p w14:paraId="347A942D"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Disproportionate representation of African American students in special education has been a consistent concern since the Department of Education's Office for Civil Rights (OCR) first monitored enrollment data in 1968 (Robinson &amp; Norton, 2019).  These statistics began to be closely monitored because of passage of the Individuals with Disabilities Education Improvement Act of 2004 (IDEA), which required states to closely monitor and track racial demographics of students who initially qualified and/or continued to qualify for special education services and specially designed instruction. Schools also were expected to share the </w:t>
      </w:r>
      <w:r w:rsidRPr="00A21ECD">
        <w:rPr>
          <w:rFonts w:ascii="Times New Roman" w:eastAsia="Times New Roman" w:hAnsi="Times New Roman"/>
          <w:color w:val="000000"/>
          <w:sz w:val="24"/>
          <w:szCs w:val="24"/>
        </w:rPr>
        <w:lastRenderedPageBreak/>
        <w:t xml:space="preserve">demographics and determine whether racial disproportionalities were present which required the school district and individual schools to prepare more equitable lessons and curriculum.  The disproportionate representation of minority students is among the most critical and enduring </w:t>
      </w:r>
      <w:r w:rsidRPr="00061E75">
        <w:rPr>
          <w:rFonts w:ascii="Times New Roman" w:eastAsia="Times New Roman" w:hAnsi="Times New Roman"/>
          <w:sz w:val="24"/>
          <w:szCs w:val="24"/>
        </w:rPr>
        <w:t>problems in the field of special education (Skiba et al., 2008). Research such as that reported by Coutinho and Oswald (2004)</w:t>
      </w:r>
      <w:r w:rsidRPr="00A21ECD">
        <w:rPr>
          <w:rFonts w:ascii="Times New Roman" w:eastAsia="Times New Roman" w:hAnsi="Times New Roman"/>
          <w:color w:val="000000"/>
          <w:sz w:val="24"/>
          <w:szCs w:val="24"/>
        </w:rPr>
        <w:t xml:space="preserve"> indicates that African American students have greater representation in a more restrictive placement rather than a least restrictive placement, thus causing a disproportionality amongst the disability coding.  </w:t>
      </w:r>
    </w:p>
    <w:p w14:paraId="5D935511" w14:textId="77777777" w:rsidR="00740992" w:rsidRPr="00061E75" w:rsidRDefault="00740992" w:rsidP="00740992">
      <w:pPr>
        <w:spacing w:line="480" w:lineRule="auto"/>
        <w:rPr>
          <w:rFonts w:ascii="Times New Roman" w:hAnsi="Times New Roman"/>
          <w:b/>
          <w:bCs/>
          <w:sz w:val="24"/>
          <w:szCs w:val="24"/>
        </w:rPr>
      </w:pPr>
      <w:r w:rsidRPr="00061E75">
        <w:rPr>
          <w:rFonts w:ascii="Times New Roman" w:hAnsi="Times New Roman"/>
          <w:b/>
          <w:bCs/>
          <w:sz w:val="24"/>
          <w:szCs w:val="24"/>
        </w:rPr>
        <w:t>Equity as It Relates to Math Achievement</w:t>
      </w:r>
    </w:p>
    <w:p w14:paraId="78335B64" w14:textId="77777777" w:rsidR="00740992" w:rsidRPr="00061E75" w:rsidRDefault="00740992" w:rsidP="00740992">
      <w:pPr>
        <w:spacing w:line="480" w:lineRule="auto"/>
        <w:ind w:firstLine="720"/>
        <w:rPr>
          <w:rFonts w:ascii="Times New Roman" w:eastAsia="Times New Roman" w:hAnsi="Times New Roman"/>
          <w:sz w:val="24"/>
          <w:szCs w:val="24"/>
        </w:rPr>
      </w:pPr>
      <w:proofErr w:type="spellStart"/>
      <w:r w:rsidRPr="00A21ECD">
        <w:rPr>
          <w:rFonts w:ascii="Times New Roman" w:eastAsia="Times New Roman" w:hAnsi="Times New Roman"/>
          <w:color w:val="000000"/>
          <w:sz w:val="24"/>
          <w:szCs w:val="24"/>
        </w:rPr>
        <w:t>Vomvoridi</w:t>
      </w:r>
      <w:proofErr w:type="spellEnd"/>
      <w:r w:rsidRPr="00A21ECD">
        <w:rPr>
          <w:rFonts w:ascii="Times New Roman" w:eastAsia="Times New Roman" w:hAnsi="Times New Roman"/>
          <w:color w:val="000000"/>
          <w:sz w:val="24"/>
          <w:szCs w:val="24"/>
        </w:rPr>
        <w:t xml:space="preserve">-Ivanovic and </w:t>
      </w:r>
      <w:proofErr w:type="spellStart"/>
      <w:r w:rsidRPr="00A21ECD">
        <w:rPr>
          <w:rFonts w:ascii="Times New Roman" w:eastAsia="Times New Roman" w:hAnsi="Times New Roman"/>
          <w:color w:val="000000"/>
          <w:sz w:val="24"/>
          <w:szCs w:val="24"/>
        </w:rPr>
        <w:t>McLeman</w:t>
      </w:r>
      <w:proofErr w:type="spellEnd"/>
      <w:r w:rsidRPr="00A21ECD">
        <w:rPr>
          <w:rFonts w:ascii="Times New Roman" w:eastAsia="Times New Roman" w:hAnsi="Times New Roman"/>
          <w:color w:val="000000"/>
          <w:sz w:val="24"/>
          <w:szCs w:val="24"/>
        </w:rPr>
        <w:t xml:space="preserve"> (2015) emphasize that the essential foundation of equitable education is that all students have the same opportunities to study and learn. The National Council of Teachers of Mathematics (NCTM) states that all students must have access to needed and appropriate materials and learning opportunities regardless of their characteristics, backgrounds, disabilities, or physical challenges. The students must have access to study and supportive means to access mathematical instruction. According to </w:t>
      </w:r>
      <w:proofErr w:type="spellStart"/>
      <w:r w:rsidRPr="00A21ECD">
        <w:rPr>
          <w:rFonts w:ascii="Times New Roman" w:eastAsia="Times New Roman" w:hAnsi="Times New Roman"/>
          <w:color w:val="000000"/>
          <w:sz w:val="24"/>
          <w:szCs w:val="24"/>
        </w:rPr>
        <w:t>Monye</w:t>
      </w:r>
      <w:proofErr w:type="spellEnd"/>
      <w:r w:rsidRPr="00A21ECD">
        <w:rPr>
          <w:rFonts w:ascii="Times New Roman" w:eastAsia="Times New Roman" w:hAnsi="Times New Roman"/>
          <w:color w:val="000000"/>
          <w:sz w:val="24"/>
          <w:szCs w:val="24"/>
        </w:rPr>
        <w:t xml:space="preserve"> (2016), this policy also argues that it is important to focus on how to support students rather than focusing on what they lack. The literature suggests that students with learning differences significantly struggle with mathematical concepts because they view these concepts as not genuine or worth their efforts. Students may ask, “when will I ever use this in real life?” The key for working with students with disabilities is to </w:t>
      </w:r>
      <w:r w:rsidRPr="00061E75">
        <w:rPr>
          <w:rFonts w:ascii="Times New Roman" w:eastAsia="Times New Roman" w:hAnsi="Times New Roman"/>
          <w:sz w:val="24"/>
          <w:szCs w:val="24"/>
        </w:rPr>
        <w:t>differentiate the approach; changing the way the material is presented to make it relevant and meaningful for them (</w:t>
      </w:r>
      <w:proofErr w:type="spellStart"/>
      <w:r w:rsidRPr="00061E75">
        <w:rPr>
          <w:rFonts w:ascii="Times New Roman" w:eastAsia="Times New Roman" w:hAnsi="Times New Roman"/>
          <w:sz w:val="24"/>
          <w:szCs w:val="24"/>
        </w:rPr>
        <w:t>Monye</w:t>
      </w:r>
      <w:proofErr w:type="spellEnd"/>
      <w:r w:rsidRPr="00061E75">
        <w:rPr>
          <w:rFonts w:ascii="Times New Roman" w:eastAsia="Times New Roman" w:hAnsi="Times New Roman"/>
          <w:sz w:val="24"/>
          <w:szCs w:val="24"/>
        </w:rPr>
        <w:t xml:space="preserve">). </w:t>
      </w:r>
    </w:p>
    <w:p w14:paraId="654612F2" w14:textId="5E7F7C59"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Moyne (2016) states that there is a major downward trend among students with disabilities and their overall math scores and mathematic comprehension. Overall, students </w:t>
      </w:r>
      <w:r w:rsidRPr="00A21ECD">
        <w:rPr>
          <w:rFonts w:ascii="Times New Roman" w:eastAsia="Times New Roman" w:hAnsi="Times New Roman"/>
          <w:color w:val="000000"/>
          <w:sz w:val="24"/>
          <w:szCs w:val="24"/>
        </w:rPr>
        <w:lastRenderedPageBreak/>
        <w:t xml:space="preserve">struggle with math problem solving skills, reasoning/calculation skills, and determining what the question is in a word problem and how to solve for the answer. Moyne notes that students with learning disabilities often struggle to comprehend the skill being presented because of their underlying attention deficits, working memory deficits, some lower cognitive profile scores (often scattered), and their lack of drive to complete the problem. </w:t>
      </w:r>
      <w:r w:rsidR="000C516A">
        <w:rPr>
          <w:rFonts w:ascii="Times New Roman" w:eastAsia="Times New Roman" w:hAnsi="Times New Roman"/>
          <w:color w:val="000000"/>
          <w:sz w:val="24"/>
          <w:szCs w:val="24"/>
        </w:rPr>
        <w:t>Persson (2015), explains that previous teaching methods like lecture-based instruction</w:t>
      </w:r>
      <w:r w:rsidR="00AB56D8">
        <w:rPr>
          <w:rFonts w:ascii="Times New Roman" w:eastAsia="Times New Roman" w:hAnsi="Times New Roman"/>
          <w:color w:val="000000"/>
          <w:sz w:val="24"/>
          <w:szCs w:val="24"/>
        </w:rPr>
        <w:t xml:space="preserve"> have </w:t>
      </w:r>
      <w:proofErr w:type="spellStart"/>
      <w:proofErr w:type="gramStart"/>
      <w:r w:rsidR="00AB56D8">
        <w:rPr>
          <w:rFonts w:ascii="Times New Roman" w:eastAsia="Times New Roman" w:hAnsi="Times New Roman"/>
          <w:color w:val="000000"/>
          <w:sz w:val="24"/>
          <w:szCs w:val="24"/>
        </w:rPr>
        <w:t>lead</w:t>
      </w:r>
      <w:proofErr w:type="spellEnd"/>
      <w:proofErr w:type="gramEnd"/>
      <w:r w:rsidR="00AB56D8">
        <w:rPr>
          <w:rFonts w:ascii="Times New Roman" w:eastAsia="Times New Roman" w:hAnsi="Times New Roman"/>
          <w:color w:val="000000"/>
          <w:sz w:val="24"/>
          <w:szCs w:val="24"/>
        </w:rPr>
        <w:t xml:space="preserve"> to students continued struggles in mathematics. Persson continues and notes major changes are needed</w:t>
      </w:r>
      <w:r w:rsidR="001078A5">
        <w:rPr>
          <w:rFonts w:ascii="Times New Roman" w:eastAsia="Times New Roman" w:hAnsi="Times New Roman"/>
          <w:color w:val="000000"/>
          <w:sz w:val="24"/>
          <w:szCs w:val="24"/>
        </w:rPr>
        <w:t xml:space="preserve"> in mathematics education at all levels. </w:t>
      </w:r>
      <w:r w:rsidRPr="00A21ECD">
        <w:rPr>
          <w:rFonts w:ascii="Times New Roman" w:eastAsia="Times New Roman" w:hAnsi="Times New Roman"/>
          <w:color w:val="000000"/>
          <w:sz w:val="24"/>
          <w:szCs w:val="24"/>
        </w:rPr>
        <w:t xml:space="preserve">According to Moyne, most students blame teachers and their teaching styles for their lack of understanding of the material being </w:t>
      </w:r>
      <w:r w:rsidRPr="00061E75">
        <w:rPr>
          <w:rFonts w:ascii="Times New Roman" w:eastAsia="Times New Roman" w:hAnsi="Times New Roman"/>
          <w:sz w:val="24"/>
          <w:szCs w:val="24"/>
        </w:rPr>
        <w:t>presented to them. Moyne also notes that students with learning disabilities often are at risk for failing their math courses throughout their schooling, thus causing major educational gaps in their skills. These gaps result in increased frustration and create extremely large gaps between their grade levels and enrollment in required math courses.</w:t>
      </w:r>
    </w:p>
    <w:p w14:paraId="4C51C56D" w14:textId="77777777" w:rsidR="00740992" w:rsidRPr="00A21ECD" w:rsidRDefault="00740992" w:rsidP="00740992">
      <w:pPr>
        <w:spacing w:line="480"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Equitable Teaching</w:t>
      </w:r>
    </w:p>
    <w:p w14:paraId="780FB592" w14:textId="77777777" w:rsidR="00740992"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Culturally responsive or culturally aware educators are those who recognize the importance of including students’ cultural upbringing and background in all aspects of learning. </w:t>
      </w:r>
      <w:r w:rsidRPr="00061E75">
        <w:rPr>
          <w:rFonts w:ascii="Times New Roman" w:eastAsia="Times New Roman" w:hAnsi="Times New Roman"/>
          <w:sz w:val="24"/>
          <w:szCs w:val="24"/>
        </w:rPr>
        <w:t xml:space="preserve">Culturally responsive teachers communicate regularly with students/families, allow parents to speak and share their perspectives and hold students to the highest regard possible; they are aware that students’ cultures are a major factor in differentiation. </w:t>
      </w:r>
      <w:r w:rsidRPr="00061E75">
        <w:rPr>
          <w:rFonts w:ascii="Times New Roman" w:hAnsi="Times New Roman"/>
          <w:sz w:val="24"/>
          <w:szCs w:val="24"/>
        </w:rPr>
        <w:t> Usher (2018) believes that culturally responsive teachers consider race and motivation and how they are positioned in prominent theories of motivation for student growth and with those offered in culturally responsive pedagogical approaches championed by multicultural educators.</w:t>
      </w:r>
      <w:r>
        <w:rPr>
          <w:rFonts w:ascii="Open Sans" w:hAnsi="Open Sans" w:cs="Open Sans"/>
          <w:color w:val="333333"/>
          <w:sz w:val="26"/>
          <w:szCs w:val="26"/>
        </w:rPr>
        <w:t> </w:t>
      </w:r>
    </w:p>
    <w:p w14:paraId="0DB58D1D"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lastRenderedPageBreak/>
        <w:t xml:space="preserve">Culturally responsive teachers and staff focus on acceptance of their specific cultural heritage and that of the school and curriculum as it relates to the culture of their students (Epstein et al., 2011). Culturally responsive teachers also use constructivist principles in teaching. They elicit student’s pre-instructional knowledge and personal beliefs, connect new content and themes to students’ preferences and cultural understandings, and provide ongoing opportunities for students to incorporate new and more complex concepts into their work and materials. Teachers also challenge students’ misconceptions, encouraging students to conceptualize relationships, and recognize multiple causes and consequences. At the same time, teachers recognize that constructivist or disciplinary </w:t>
      </w:r>
      <w:r w:rsidRPr="00061E75">
        <w:rPr>
          <w:rFonts w:ascii="Times New Roman" w:eastAsia="Times New Roman" w:hAnsi="Times New Roman"/>
          <w:sz w:val="24"/>
          <w:szCs w:val="24"/>
        </w:rPr>
        <w:t>approaches to teacher are necessary but insufficient considerations in planning and implementation of instruction</w:t>
      </w:r>
      <w:r w:rsidRPr="00A21ECD">
        <w:rPr>
          <w:rFonts w:ascii="Times New Roman" w:eastAsia="Times New Roman" w:hAnsi="Times New Roman"/>
          <w:color w:val="000000"/>
          <w:sz w:val="24"/>
          <w:szCs w:val="24"/>
        </w:rPr>
        <w:t xml:space="preserve"> (Epstein et al.).</w:t>
      </w:r>
    </w:p>
    <w:p w14:paraId="08F35ABE"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Culturally aware teachers are teachers who are knowledgeable and familiar with the values, behaviors, history, and expectations of cultural groups represented in the school via the student body. The culturally aware teacher demonstrates an understanding of the centrality of culture in informing individuals’ cognition, emotions, and behaviors; and displays cultural sensitivity that reflects openness and flexibility without judgement when working with others (Kumar et al., 2018). </w:t>
      </w:r>
    </w:p>
    <w:p w14:paraId="7AECF041"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Valuable Curriculum through an Equity Lens</w:t>
      </w:r>
    </w:p>
    <w:p w14:paraId="6EC9E785"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The learning community is just one mechanism under the umbrella of constructivist pedagogy that has come to be known as learner-centered pedagogy (Cullen &amp; Hill 2013). Designing curriculum that is considered positive by all is essential. Teachers generally are required to follow specific curriculum which the school system develops with the state’s guidance. Presenting culturally diverse curriculum allows students and schools the opportunity </w:t>
      </w:r>
      <w:r w:rsidRPr="00061E75">
        <w:rPr>
          <w:rFonts w:ascii="Times New Roman" w:eastAsia="Times New Roman" w:hAnsi="Times New Roman"/>
          <w:sz w:val="24"/>
          <w:szCs w:val="24"/>
        </w:rPr>
        <w:lastRenderedPageBreak/>
        <w:t xml:space="preserve">for growth beyond the content being taught; it improves relationships and resources available for youth and young people of color (Epstein, Mayorga, Nelson, 2011). </w:t>
      </w:r>
    </w:p>
    <w:p w14:paraId="52C3C789"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The assertion that traditional curricula may be more appropriate for some students than for others is problematic because of its exclusive focus on curriculum. Moreover, the claim that open-ended materials and methods are less suitable for working-class or ethnic minority students is dangerous when considered within an educational system in which many already subscribe to the view that working class students cannot cope with more demanding work (</w:t>
      </w:r>
      <w:proofErr w:type="spellStart"/>
      <w:r w:rsidRPr="00061E75">
        <w:rPr>
          <w:rFonts w:ascii="Times New Roman" w:eastAsia="Times New Roman" w:hAnsi="Times New Roman"/>
          <w:sz w:val="24"/>
          <w:szCs w:val="24"/>
        </w:rPr>
        <w:t>Boaler</w:t>
      </w:r>
      <w:proofErr w:type="spellEnd"/>
      <w:r w:rsidRPr="00061E75">
        <w:rPr>
          <w:rFonts w:ascii="Times New Roman" w:eastAsia="Times New Roman" w:hAnsi="Times New Roman"/>
          <w:sz w:val="24"/>
          <w:szCs w:val="24"/>
        </w:rPr>
        <w:t xml:space="preserve">, 2002). </w:t>
      </w:r>
    </w:p>
    <w:p w14:paraId="3BCAB41A"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Equity Barriers and Teaching Strategies</w:t>
      </w:r>
    </w:p>
    <w:p w14:paraId="6A6C2169"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Teaching equity is something that must initially happen with teachers, offering them appropriate professional development opportunities. When teaching educators about equity, one must ensure teacher awareness and comprehension and provide them with useful and meaningful strategies that they can implement in their instruction and interaction with students.  According to Usher (2018), special emphasis must be placed on how teachers' and learners' sociohistorical and cultural contexts might influence motivation. Equitable barriers can be something as obvious as race or special education status or they can be hidden. To provide all students the opportunity to receive equitable teaching, it is essential that individuals first look within themselves </w:t>
      </w:r>
      <w:r w:rsidRPr="00061E75">
        <w:rPr>
          <w:rFonts w:ascii="Times New Roman" w:eastAsia="Times New Roman" w:hAnsi="Times New Roman"/>
          <w:strike/>
          <w:sz w:val="24"/>
          <w:szCs w:val="24"/>
        </w:rPr>
        <w:t>a</w:t>
      </w:r>
      <w:r w:rsidRPr="00061E75">
        <w:rPr>
          <w:rFonts w:ascii="Times New Roman" w:eastAsia="Times New Roman" w:hAnsi="Times New Roman"/>
          <w:sz w:val="24"/>
          <w:szCs w:val="24"/>
        </w:rPr>
        <w:t>nd determine the possibility of making personal changes and professional growth. Professional growth includes considering how instruction can be delivered and how all students can understand what is being presented. Presenting material with a growth mindset provides teachers an opportunity to consider things from the students’ perspective; it provides the teacher a way to realize that students do require different presentations of materials but also presentation of materials in such a way that enables them to respond successfully.</w:t>
      </w:r>
    </w:p>
    <w:p w14:paraId="514A9C6C" w14:textId="77777777" w:rsidR="00740992" w:rsidRPr="00A21ECD" w:rsidRDefault="00740992" w:rsidP="00740992">
      <w:pPr>
        <w:jc w:val="center"/>
        <w:rPr>
          <w:rFonts w:ascii="Times New Roman" w:eastAsia="Times New Roman" w:hAnsi="Times New Roman"/>
          <w:color w:val="000000"/>
          <w:sz w:val="24"/>
          <w:szCs w:val="24"/>
        </w:rPr>
      </w:pPr>
      <w:r w:rsidRPr="00A21ECD">
        <w:rPr>
          <w:rFonts w:ascii="Times New Roman" w:eastAsia="Times New Roman" w:hAnsi="Times New Roman"/>
          <w:b/>
          <w:bCs/>
          <w:caps/>
          <w:color w:val="000000"/>
          <w:sz w:val="24"/>
          <w:szCs w:val="24"/>
        </w:rPr>
        <w:lastRenderedPageBreak/>
        <w:t>CHAPTER III</w:t>
      </w:r>
    </w:p>
    <w:p w14:paraId="365FCEED" w14:textId="77777777" w:rsidR="00740992" w:rsidRPr="00A21ECD" w:rsidRDefault="00740992" w:rsidP="00740992">
      <w:pPr>
        <w:spacing w:line="257" w:lineRule="auto"/>
        <w:jc w:val="center"/>
        <w:rPr>
          <w:rFonts w:ascii="Times New Roman" w:eastAsia="Times New Roman" w:hAnsi="Times New Roman"/>
          <w:color w:val="000000"/>
          <w:sz w:val="24"/>
          <w:szCs w:val="24"/>
        </w:rPr>
      </w:pPr>
      <w:r w:rsidRPr="00A21ECD">
        <w:rPr>
          <w:rFonts w:ascii="Times New Roman" w:eastAsia="Times New Roman" w:hAnsi="Times New Roman"/>
          <w:b/>
          <w:bCs/>
          <w:caps/>
          <w:color w:val="000000"/>
          <w:sz w:val="24"/>
          <w:szCs w:val="24"/>
        </w:rPr>
        <w:t>METHODS</w:t>
      </w:r>
    </w:p>
    <w:p w14:paraId="14921EF6" w14:textId="77777777" w:rsidR="00740992" w:rsidRPr="00A21ECD" w:rsidRDefault="00740992" w:rsidP="00740992">
      <w:pPr>
        <w:spacing w:line="257"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 xml:space="preserve">Design </w:t>
      </w:r>
    </w:p>
    <w:p w14:paraId="44BA7412"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The purpose of this study was to determine if a difference in student achievement existed between those students who enrolled and completed the Ramp Up to Algebra Intervention or students who enrolled directly into Algebra I when entering high school. The study used a quasi-experimental design to determine if a difference existed between</w:t>
      </w:r>
      <w:r w:rsidRPr="000D2C5E">
        <w:rPr>
          <w:rFonts w:ascii="Times New Roman" w:eastAsia="Times New Roman" w:hAnsi="Times New Roman"/>
          <w:color w:val="FF0000"/>
          <w:sz w:val="24"/>
          <w:szCs w:val="24"/>
        </w:rPr>
        <w:t xml:space="preserve"> </w:t>
      </w:r>
      <w:r w:rsidRPr="00A21ECD">
        <w:rPr>
          <w:rFonts w:ascii="Times New Roman" w:eastAsia="Times New Roman" w:hAnsi="Times New Roman"/>
          <w:color w:val="000000"/>
          <w:sz w:val="24"/>
          <w:szCs w:val="24"/>
        </w:rPr>
        <w:t>students enrolling and completing the Ramp Up to Algebra Intervention or enrolling directly into Algebra I when entering high school. This study reviewed students’</w:t>
      </w:r>
      <w:r w:rsidRPr="000D2C5E">
        <w:rPr>
          <w:rFonts w:ascii="Times New Roman" w:eastAsia="Times New Roman" w:hAnsi="Times New Roman"/>
          <w:color w:val="FF0000"/>
          <w:sz w:val="24"/>
          <w:szCs w:val="24"/>
        </w:rPr>
        <w:t xml:space="preserve"> </w:t>
      </w:r>
      <w:r w:rsidRPr="00A21ECD">
        <w:rPr>
          <w:rFonts w:ascii="Times New Roman" w:eastAsia="Times New Roman" w:hAnsi="Times New Roman"/>
          <w:color w:val="000000"/>
          <w:sz w:val="24"/>
          <w:szCs w:val="24"/>
        </w:rPr>
        <w:t>benchmark grades and data collected based on students’ Individualized Education Plans (IEPs) and their need for the intervention or not. The first data reviewed</w:t>
      </w:r>
      <w:r w:rsidRPr="000D2C5E">
        <w:rPr>
          <w:rFonts w:ascii="Times New Roman" w:eastAsia="Times New Roman" w:hAnsi="Times New Roman"/>
          <w:color w:val="FF0000"/>
          <w:sz w:val="24"/>
          <w:szCs w:val="24"/>
        </w:rPr>
        <w:t xml:space="preserve"> </w:t>
      </w:r>
      <w:r w:rsidRPr="00A21ECD">
        <w:rPr>
          <w:rFonts w:ascii="Times New Roman" w:eastAsia="Times New Roman" w:hAnsi="Times New Roman"/>
          <w:color w:val="000000"/>
          <w:sz w:val="24"/>
          <w:szCs w:val="24"/>
        </w:rPr>
        <w:t>were Benchmark assessments required by the school system</w:t>
      </w:r>
      <w:r w:rsidRPr="000D2C5E">
        <w:rPr>
          <w:rFonts w:ascii="Times New Roman" w:eastAsia="Times New Roman" w:hAnsi="Times New Roman"/>
          <w:color w:val="FF0000"/>
          <w:sz w:val="24"/>
          <w:szCs w:val="24"/>
        </w:rPr>
        <w:t xml:space="preserve"> </w:t>
      </w:r>
      <w:r w:rsidRPr="00A21ECD">
        <w:rPr>
          <w:rFonts w:ascii="Times New Roman" w:eastAsia="Times New Roman" w:hAnsi="Times New Roman"/>
          <w:color w:val="000000"/>
          <w:sz w:val="24"/>
          <w:szCs w:val="24"/>
        </w:rPr>
        <w:t xml:space="preserve">and delivered via Pearson’s online platform. Participants were asked to take the benchmark assessments and try their best when completing each problem, remembering that some developed the skills previously and some required the intervention steps. </w:t>
      </w:r>
    </w:p>
    <w:p w14:paraId="4003B2ED" w14:textId="77777777" w:rsidR="00740992" w:rsidRPr="00A21ECD" w:rsidRDefault="00740992" w:rsidP="00740992">
      <w:pPr>
        <w:spacing w:line="257"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Participants</w:t>
      </w:r>
    </w:p>
    <w:p w14:paraId="68F40683" w14:textId="77777777" w:rsidR="00740992" w:rsidRPr="00061E75" w:rsidRDefault="00740992" w:rsidP="00740992">
      <w:pPr>
        <w:spacing w:line="480" w:lineRule="auto"/>
        <w:ind w:firstLine="720"/>
        <w:rPr>
          <w:rFonts w:ascii="Times New Roman" w:eastAsia="Times New Roman" w:hAnsi="Times New Roman"/>
          <w:sz w:val="24"/>
          <w:szCs w:val="24"/>
        </w:rPr>
      </w:pPr>
      <w:r w:rsidRPr="00A21ECD">
        <w:rPr>
          <w:rFonts w:ascii="Times New Roman" w:eastAsia="Times New Roman" w:hAnsi="Times New Roman"/>
          <w:color w:val="000000"/>
          <w:sz w:val="24"/>
          <w:szCs w:val="24"/>
        </w:rPr>
        <w:t xml:space="preserve">Students currently enrolled in Ramp Up to Algebra Intervention worked on skills that built upon </w:t>
      </w:r>
      <w:r w:rsidRPr="00061E75">
        <w:rPr>
          <w:rFonts w:ascii="Times New Roman" w:eastAsia="Times New Roman" w:hAnsi="Times New Roman"/>
          <w:sz w:val="24"/>
          <w:szCs w:val="24"/>
        </w:rPr>
        <w:t>themselves to better prepare for enrollment in Algebra I class. These students were currently testing two or more</w:t>
      </w:r>
      <w:r>
        <w:rPr>
          <w:rFonts w:ascii="Times New Roman" w:eastAsia="Times New Roman" w:hAnsi="Times New Roman"/>
          <w:color w:val="000000"/>
          <w:sz w:val="24"/>
          <w:szCs w:val="24"/>
        </w:rPr>
        <w:t xml:space="preserve"> </w:t>
      </w:r>
      <w:r w:rsidRPr="00A21ECD">
        <w:rPr>
          <w:rFonts w:ascii="Times New Roman" w:eastAsia="Times New Roman" w:hAnsi="Times New Roman"/>
          <w:color w:val="000000"/>
          <w:sz w:val="24"/>
          <w:szCs w:val="24"/>
        </w:rPr>
        <w:t xml:space="preserve">years behind in mathematic content/skills. The currently enrolled </w:t>
      </w:r>
      <w:r w:rsidRPr="00061E75">
        <w:rPr>
          <w:rFonts w:ascii="Times New Roman" w:eastAsia="Times New Roman" w:hAnsi="Times New Roman"/>
          <w:sz w:val="24"/>
          <w:szCs w:val="24"/>
        </w:rPr>
        <w:t xml:space="preserve">students included seven males and one female. From the seven males, one was Hispanic who received English Language Learner (ELL) supports and services. Among the seven males whose scores were collected, one had a significant intellectual disability according to completed formal assessments. However, the family refused to have the student’s status changed from earning a diploma to earning a certificate of high school completion. All students enrolled in Ramp Up to </w:t>
      </w:r>
      <w:r w:rsidRPr="00061E75">
        <w:rPr>
          <w:rFonts w:ascii="Times New Roman" w:eastAsia="Times New Roman" w:hAnsi="Times New Roman"/>
          <w:sz w:val="24"/>
          <w:szCs w:val="24"/>
        </w:rPr>
        <w:lastRenderedPageBreak/>
        <w:t>Algebra Intervention have IEPs with specific areas of deficits in mathematics calculation and problem solving. Ninth grade students who are currently enrolled in Ramp Up take the year prior to their Algebra I class to benefit from skill development and materials being chunked, and to build their mathematical capacity and understanding of the skills that present gaps in their cognitive profile. Ninth grade students who enroll in Algebra I class first, skipping Ramp Up, have seemed to miss out on the specific skill development that the students who are enrolled in Ramp Up to Algebra Intervention receive.</w:t>
      </w:r>
    </w:p>
    <w:p w14:paraId="74AAB650" w14:textId="77777777" w:rsidR="00740992" w:rsidRPr="00061E75" w:rsidRDefault="00740992" w:rsidP="00740992">
      <w:pPr>
        <w:spacing w:line="257"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Instrument</w:t>
      </w:r>
    </w:p>
    <w:p w14:paraId="54211C63" w14:textId="77777777" w:rsidR="00740992" w:rsidRPr="00061E75" w:rsidRDefault="00740992" w:rsidP="00740992">
      <w:pPr>
        <w:spacing w:line="480" w:lineRule="auto"/>
        <w:rPr>
          <w:rFonts w:ascii="Times New Roman" w:eastAsia="Times New Roman" w:hAnsi="Times New Roman"/>
          <w:sz w:val="24"/>
          <w:szCs w:val="24"/>
        </w:rPr>
      </w:pPr>
      <w:r w:rsidRPr="00061E75">
        <w:rPr>
          <w:rFonts w:ascii="Times New Roman" w:eastAsia="Times New Roman" w:hAnsi="Times New Roman"/>
          <w:sz w:val="24"/>
          <w:szCs w:val="24"/>
        </w:rPr>
        <w:t xml:space="preserve">            This study included an independent and dependent variable and one formal assessment. The formal assessment results were used to determine the growth in students’ understanding of mathematical concepts based on their benchmark scores. The Benchmark assessment with which students were assessed was provided by Pearson and delivered through an online assessment portal. The assessment breaks topics into sections such as basic computations, algebraic concepts, linear functions, data collection and computations (mean, median and mode). Scores are derived based on students’ ability to show what they knew.  Students </w:t>
      </w:r>
      <w:proofErr w:type="gramStart"/>
      <w:r w:rsidRPr="00061E75">
        <w:rPr>
          <w:rFonts w:ascii="Times New Roman" w:eastAsia="Times New Roman" w:hAnsi="Times New Roman"/>
          <w:sz w:val="24"/>
          <w:szCs w:val="24"/>
        </w:rPr>
        <w:t>are able to</w:t>
      </w:r>
      <w:proofErr w:type="gramEnd"/>
      <w:r w:rsidRPr="00061E75">
        <w:rPr>
          <w:rFonts w:ascii="Times New Roman" w:eastAsia="Times New Roman" w:hAnsi="Times New Roman"/>
          <w:sz w:val="24"/>
          <w:szCs w:val="24"/>
        </w:rPr>
        <w:t xml:space="preserve"> score 0-100, where 100 is the best score and 0 is the worst score. It was challenging to determine whether the students struggled with the material presented or if their work ethic was not present on the day the assessment was administered. Both the students enrolled in Ramp Up and in Algebra I were given the assessment described above and their scores on the assessment were compared. </w:t>
      </w:r>
    </w:p>
    <w:p w14:paraId="154AEF96" w14:textId="77777777" w:rsidR="00740992" w:rsidRPr="00A21ECD" w:rsidRDefault="00740992" w:rsidP="00740992">
      <w:pPr>
        <w:spacing w:line="257"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Procedure</w:t>
      </w:r>
    </w:p>
    <w:p w14:paraId="76D61D5D" w14:textId="77777777" w:rsidR="00740992" w:rsidRPr="00A21ECD" w:rsidRDefault="00740992" w:rsidP="00740992">
      <w:pPr>
        <w:spacing w:line="480" w:lineRule="auto"/>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            The researcher has co-taught the Ramp Up </w:t>
      </w:r>
      <w:r>
        <w:rPr>
          <w:rFonts w:ascii="Times New Roman" w:eastAsia="Times New Roman" w:hAnsi="Times New Roman"/>
          <w:color w:val="000000"/>
          <w:sz w:val="24"/>
          <w:szCs w:val="24"/>
        </w:rPr>
        <w:t>to Algebra I</w:t>
      </w:r>
      <w:r w:rsidRPr="00A21ECD">
        <w:rPr>
          <w:rFonts w:ascii="Times New Roman" w:eastAsia="Times New Roman" w:hAnsi="Times New Roman"/>
          <w:color w:val="000000"/>
          <w:sz w:val="24"/>
          <w:szCs w:val="24"/>
        </w:rPr>
        <w:t xml:space="preserve">ntervention class for seven years. The researcher met </w:t>
      </w:r>
      <w:r w:rsidRPr="00061E75">
        <w:rPr>
          <w:rFonts w:ascii="Times New Roman" w:eastAsia="Times New Roman" w:hAnsi="Times New Roman"/>
          <w:sz w:val="24"/>
          <w:szCs w:val="24"/>
        </w:rPr>
        <w:t>with her co-teacher to gain approval for this study. After gaining approval and brainstorming with her co</w:t>
      </w:r>
      <w:r w:rsidRPr="00A21ECD">
        <w:rPr>
          <w:rFonts w:ascii="Times New Roman" w:eastAsia="Times New Roman" w:hAnsi="Times New Roman"/>
          <w:color w:val="000000"/>
          <w:sz w:val="24"/>
          <w:szCs w:val="24"/>
        </w:rPr>
        <w:t xml:space="preserve">-teacher, the researcher collected data and work samples from </w:t>
      </w:r>
      <w:r w:rsidRPr="00A21ECD">
        <w:rPr>
          <w:rFonts w:ascii="Times New Roman" w:eastAsia="Times New Roman" w:hAnsi="Times New Roman"/>
          <w:color w:val="000000"/>
          <w:sz w:val="24"/>
          <w:szCs w:val="24"/>
        </w:rPr>
        <w:lastRenderedPageBreak/>
        <w:t>students along with snapshots of their IEPs and data from past mathematics teachers. Data were collected utilizing the programs for which the researcher had access. The researcher utilized the ‘Baseball card’ feature on the Unify profile to gather specific scores and determine the students’ achievement level according to the score received. This procedure provided the researcher with a full, comprehensive understanding of students and their learning styles/abilities. The researcher also utilized the Maryland Online IEP program to determine which students received certain accommodations such as extended time, use of a calculator on all sections of the assessment, clarification of directions, and small group arrangements for testing. The researcher received the results from student benchmark assessments and analyzed the information as presented in Chapter IV.</w:t>
      </w:r>
    </w:p>
    <w:p w14:paraId="20074A76" w14:textId="77777777" w:rsidR="003E5A29" w:rsidRDefault="003E5A29">
      <w:pPr>
        <w:rPr>
          <w:rFonts w:ascii="Times New Roman" w:eastAsia="Times New Roman" w:hAnsi="Times New Roman"/>
          <w:b/>
          <w:bCs/>
          <w:caps/>
          <w:sz w:val="24"/>
          <w:szCs w:val="24"/>
        </w:rPr>
      </w:pPr>
      <w:r>
        <w:rPr>
          <w:rFonts w:ascii="Times New Roman" w:eastAsia="Times New Roman" w:hAnsi="Times New Roman"/>
          <w:b/>
          <w:bCs/>
          <w:caps/>
          <w:sz w:val="24"/>
          <w:szCs w:val="24"/>
        </w:rPr>
        <w:br w:type="page"/>
      </w:r>
    </w:p>
    <w:p w14:paraId="0F316AC1" w14:textId="1EBEFD47" w:rsidR="00740992" w:rsidRPr="00061E75" w:rsidRDefault="00740992" w:rsidP="00740992">
      <w:pPr>
        <w:jc w:val="center"/>
        <w:rPr>
          <w:rFonts w:ascii="Times New Roman" w:eastAsia="Times New Roman" w:hAnsi="Times New Roman"/>
          <w:caps/>
          <w:sz w:val="24"/>
          <w:szCs w:val="24"/>
        </w:rPr>
      </w:pPr>
      <w:r w:rsidRPr="00061E75">
        <w:rPr>
          <w:rFonts w:ascii="Times New Roman" w:eastAsia="Times New Roman" w:hAnsi="Times New Roman"/>
          <w:b/>
          <w:bCs/>
          <w:caps/>
          <w:sz w:val="24"/>
          <w:szCs w:val="24"/>
        </w:rPr>
        <w:lastRenderedPageBreak/>
        <w:t>Chapter IV</w:t>
      </w:r>
    </w:p>
    <w:p w14:paraId="75D92C3A" w14:textId="77777777" w:rsidR="00740992" w:rsidRPr="00061E75" w:rsidRDefault="00740992" w:rsidP="00740992">
      <w:pPr>
        <w:spacing w:line="257" w:lineRule="auto"/>
        <w:jc w:val="center"/>
        <w:rPr>
          <w:rFonts w:ascii="Times New Roman" w:eastAsia="Times New Roman" w:hAnsi="Times New Roman"/>
          <w:caps/>
          <w:sz w:val="24"/>
          <w:szCs w:val="24"/>
        </w:rPr>
      </w:pPr>
      <w:r w:rsidRPr="00061E75">
        <w:rPr>
          <w:rFonts w:ascii="Times New Roman" w:eastAsia="Times New Roman" w:hAnsi="Times New Roman"/>
          <w:b/>
          <w:bCs/>
          <w:caps/>
          <w:sz w:val="24"/>
          <w:szCs w:val="24"/>
        </w:rPr>
        <w:t>Results</w:t>
      </w:r>
    </w:p>
    <w:p w14:paraId="27829D2A" w14:textId="36D08833"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The purpose of this study was to determine if a difference in student achievement existed between those students who enrolled and completed the Ramp Up to Algebra Intervention or students who enrolled directly into Algebra I when entering high school. The hypothesis of the current study was to compare student Ramp Up Benchmark/MCAP Scores between those students who received Ramp Up to Algebra Intervention and those students who did not receive the intervention. The hypothesis was tested with an Independent Samples </w:t>
      </w:r>
      <w:r w:rsidRPr="00A21ECD">
        <w:rPr>
          <w:rFonts w:ascii="Times New Roman" w:eastAsia="Times New Roman" w:hAnsi="Times New Roman"/>
          <w:i/>
          <w:iCs/>
          <w:color w:val="000000"/>
          <w:sz w:val="24"/>
          <w:szCs w:val="24"/>
        </w:rPr>
        <w:t>t</w:t>
      </w:r>
      <w:r w:rsidRPr="00A21ECD">
        <w:rPr>
          <w:rFonts w:ascii="Times New Roman" w:eastAsia="Times New Roman" w:hAnsi="Times New Roman"/>
          <w:color w:val="000000"/>
          <w:sz w:val="24"/>
          <w:szCs w:val="24"/>
        </w:rPr>
        <w:t xml:space="preserve">-test to determine the difference between the groups. An independent group </w:t>
      </w:r>
      <w:r w:rsidRPr="00A21ECD">
        <w:rPr>
          <w:rFonts w:ascii="Times New Roman" w:eastAsia="Times New Roman" w:hAnsi="Times New Roman"/>
          <w:i/>
          <w:iCs/>
          <w:color w:val="000000"/>
          <w:sz w:val="24"/>
          <w:szCs w:val="24"/>
        </w:rPr>
        <w:t>t-</w:t>
      </w:r>
      <w:r w:rsidRPr="00A21ECD">
        <w:rPr>
          <w:rFonts w:ascii="Times New Roman" w:eastAsia="Times New Roman" w:hAnsi="Times New Roman"/>
          <w:color w:val="000000"/>
          <w:sz w:val="24"/>
          <w:szCs w:val="24"/>
        </w:rPr>
        <w:t>test revealed that there was not a statistically significant difference in MCAP Algebra scores between students who were enrolled in Ramp up to Algebra Intervention (</w:t>
      </w:r>
      <w:r w:rsidRPr="00A21ECD">
        <w:rPr>
          <w:rFonts w:ascii="Times New Roman" w:eastAsia="Times New Roman" w:hAnsi="Times New Roman"/>
          <w:i/>
          <w:iCs/>
          <w:color w:val="000000"/>
          <w:sz w:val="24"/>
          <w:szCs w:val="24"/>
        </w:rPr>
        <w:t>M</w:t>
      </w:r>
      <w:r w:rsidRPr="00A21ECD">
        <w:rPr>
          <w:rFonts w:ascii="Times New Roman" w:eastAsia="Times New Roman" w:hAnsi="Times New Roman"/>
          <w:color w:val="000000"/>
          <w:sz w:val="24"/>
          <w:szCs w:val="24"/>
        </w:rPr>
        <w:t xml:space="preserve"> = 715.63, </w:t>
      </w:r>
      <w:r w:rsidRPr="00A21ECD">
        <w:rPr>
          <w:rFonts w:ascii="Times New Roman" w:eastAsia="Times New Roman" w:hAnsi="Times New Roman"/>
          <w:i/>
          <w:iCs/>
          <w:color w:val="000000"/>
          <w:sz w:val="24"/>
          <w:szCs w:val="24"/>
        </w:rPr>
        <w:t>SD</w:t>
      </w:r>
      <w:r w:rsidRPr="00A21ECD">
        <w:rPr>
          <w:rFonts w:ascii="Times New Roman" w:eastAsia="Times New Roman" w:hAnsi="Times New Roman"/>
          <w:color w:val="000000"/>
          <w:sz w:val="24"/>
          <w:szCs w:val="24"/>
        </w:rPr>
        <w:t xml:space="preserve"> = </w:t>
      </w:r>
      <w:r w:rsidRPr="00964052">
        <w:rPr>
          <w:rFonts w:ascii="Times New Roman" w:eastAsia="Times New Roman" w:hAnsi="Times New Roman"/>
          <w:color w:val="000000"/>
          <w:sz w:val="24"/>
          <w:szCs w:val="24"/>
        </w:rPr>
        <w:t>25.38</w:t>
      </w:r>
      <w:r w:rsidRPr="00A21ECD">
        <w:rPr>
          <w:rFonts w:ascii="Times New Roman" w:eastAsia="Times New Roman" w:hAnsi="Times New Roman"/>
          <w:i/>
          <w:iCs/>
          <w:color w:val="000000"/>
          <w:sz w:val="24"/>
          <w:szCs w:val="24"/>
        </w:rPr>
        <w:t>, n</w:t>
      </w:r>
      <w:r w:rsidRPr="00A21ECD">
        <w:rPr>
          <w:rFonts w:ascii="Times New Roman" w:eastAsia="Times New Roman" w:hAnsi="Times New Roman"/>
          <w:color w:val="000000"/>
          <w:sz w:val="24"/>
          <w:szCs w:val="24"/>
        </w:rPr>
        <w:t xml:space="preserve"> = 11), as compared to student who were not enrolled in Ramp Up to Algebra Intervention (</w:t>
      </w:r>
      <w:r w:rsidRPr="00A21ECD">
        <w:rPr>
          <w:rFonts w:ascii="Times New Roman" w:eastAsia="Times New Roman" w:hAnsi="Times New Roman"/>
          <w:i/>
          <w:iCs/>
          <w:color w:val="000000"/>
          <w:sz w:val="24"/>
          <w:szCs w:val="24"/>
        </w:rPr>
        <w:t>M</w:t>
      </w:r>
      <w:r w:rsidRPr="00A21ECD">
        <w:rPr>
          <w:rFonts w:ascii="Times New Roman" w:eastAsia="Times New Roman" w:hAnsi="Times New Roman"/>
          <w:color w:val="000000"/>
          <w:sz w:val="24"/>
          <w:szCs w:val="24"/>
        </w:rPr>
        <w:t xml:space="preserve"> = 729.78, </w:t>
      </w:r>
      <w:r w:rsidRPr="00A21ECD">
        <w:rPr>
          <w:rFonts w:ascii="Times New Roman" w:eastAsia="Times New Roman" w:hAnsi="Times New Roman"/>
          <w:i/>
          <w:iCs/>
          <w:color w:val="000000"/>
          <w:sz w:val="24"/>
          <w:szCs w:val="24"/>
        </w:rPr>
        <w:t>SD</w:t>
      </w:r>
      <w:r w:rsidRPr="00A21ECD">
        <w:rPr>
          <w:rFonts w:ascii="Times New Roman" w:eastAsia="Times New Roman" w:hAnsi="Times New Roman"/>
          <w:color w:val="000000"/>
          <w:sz w:val="24"/>
          <w:szCs w:val="24"/>
        </w:rPr>
        <w:t xml:space="preserve"> = 19.48</w:t>
      </w:r>
      <w:proofErr w:type="gramStart"/>
      <w:r w:rsidRPr="00A21ECD">
        <w:rPr>
          <w:rFonts w:ascii="Times New Roman" w:eastAsia="Times New Roman" w:hAnsi="Times New Roman"/>
          <w:color w:val="000000"/>
          <w:sz w:val="24"/>
          <w:szCs w:val="24"/>
        </w:rPr>
        <w:t xml:space="preserve">, </w:t>
      </w:r>
      <w:r w:rsidRPr="00A21ECD">
        <w:rPr>
          <w:rFonts w:ascii="Times New Roman" w:eastAsia="Times New Roman" w:hAnsi="Times New Roman"/>
          <w:i/>
          <w:iCs/>
          <w:color w:val="000000"/>
          <w:sz w:val="24"/>
          <w:szCs w:val="24"/>
        </w:rPr>
        <w:t xml:space="preserve"> n</w:t>
      </w:r>
      <w:proofErr w:type="gramEnd"/>
      <w:r w:rsidRPr="00A21ECD">
        <w:rPr>
          <w:rFonts w:ascii="Times New Roman" w:eastAsia="Times New Roman" w:hAnsi="Times New Roman"/>
          <w:color w:val="000000"/>
          <w:sz w:val="24"/>
          <w:szCs w:val="24"/>
        </w:rPr>
        <w:t xml:space="preserve">  = 18), with a medium effect size,  </w:t>
      </w:r>
      <w:r w:rsidRPr="00A21ECD">
        <w:rPr>
          <w:rFonts w:ascii="Times New Roman" w:eastAsia="Times New Roman" w:hAnsi="Times New Roman"/>
          <w:i/>
          <w:iCs/>
          <w:color w:val="000000"/>
          <w:sz w:val="24"/>
          <w:szCs w:val="24"/>
        </w:rPr>
        <w:t>t</w:t>
      </w:r>
      <w:r w:rsidRPr="00A21ECD">
        <w:rPr>
          <w:rFonts w:ascii="Times New Roman" w:eastAsia="Times New Roman" w:hAnsi="Times New Roman"/>
          <w:color w:val="000000"/>
          <w:sz w:val="24"/>
          <w:szCs w:val="24"/>
        </w:rPr>
        <w:t xml:space="preserve">(27) = -0.50,  </w:t>
      </w:r>
      <w:r w:rsidRPr="00A21ECD">
        <w:rPr>
          <w:rFonts w:ascii="Times New Roman" w:eastAsia="Times New Roman" w:hAnsi="Times New Roman"/>
          <w:i/>
          <w:iCs/>
          <w:color w:val="000000"/>
          <w:sz w:val="24"/>
          <w:szCs w:val="24"/>
        </w:rPr>
        <w:t>p</w:t>
      </w:r>
      <w:r w:rsidRPr="00A21ECD">
        <w:rPr>
          <w:rFonts w:ascii="Times New Roman" w:eastAsia="Times New Roman" w:hAnsi="Times New Roman"/>
          <w:color w:val="000000"/>
          <w:sz w:val="24"/>
          <w:szCs w:val="24"/>
        </w:rPr>
        <w:t xml:space="preserve">  &gt; .05,  </w:t>
      </w:r>
      <w:r w:rsidRPr="00A21ECD">
        <w:rPr>
          <w:rFonts w:ascii="Times New Roman" w:eastAsia="Times New Roman" w:hAnsi="Times New Roman"/>
          <w:i/>
          <w:iCs/>
          <w:color w:val="000000"/>
          <w:sz w:val="24"/>
          <w:szCs w:val="24"/>
        </w:rPr>
        <w:t>d</w:t>
      </w:r>
      <w:r w:rsidRPr="00A21ECD">
        <w:rPr>
          <w:rFonts w:ascii="Times New Roman" w:eastAsia="Times New Roman" w:hAnsi="Times New Roman"/>
          <w:color w:val="000000"/>
          <w:sz w:val="24"/>
          <w:szCs w:val="24"/>
        </w:rPr>
        <w:t xml:space="preserve">   </w:t>
      </w:r>
      <w:r w:rsidRPr="00A21ECD">
        <w:rPr>
          <w:rFonts w:ascii="Times New Roman" w:eastAsia="Times New Roman" w:hAnsi="Times New Roman"/>
          <w:i/>
          <w:iCs/>
          <w:color w:val="000000"/>
          <w:sz w:val="24"/>
          <w:szCs w:val="24"/>
        </w:rPr>
        <w:t xml:space="preserve">= </w:t>
      </w:r>
      <w:r w:rsidRPr="00A21ECD">
        <w:rPr>
          <w:rFonts w:ascii="Times New Roman" w:eastAsia="Times New Roman" w:hAnsi="Times New Roman"/>
          <w:color w:val="000000"/>
          <w:sz w:val="24"/>
          <w:szCs w:val="24"/>
        </w:rPr>
        <w:t xml:space="preserve"> 0.63. Figure 1 illustrates that there was a small difference between the two groups.</w:t>
      </w:r>
    </w:p>
    <w:p w14:paraId="17F71386" w14:textId="77777777" w:rsidR="00645682" w:rsidRDefault="00645682" w:rsidP="00740992">
      <w:pPr>
        <w:rPr>
          <w:rFonts w:ascii="Times New Roman" w:eastAsia="Times New Roman" w:hAnsi="Times New Roman"/>
          <w:b/>
          <w:bCs/>
          <w:color w:val="000000"/>
          <w:sz w:val="24"/>
          <w:szCs w:val="24"/>
        </w:rPr>
      </w:pPr>
    </w:p>
    <w:p w14:paraId="3A6E462E" w14:textId="77777777" w:rsidR="00645682" w:rsidRDefault="00645682" w:rsidP="00740992">
      <w:pPr>
        <w:rPr>
          <w:rFonts w:ascii="Times New Roman" w:eastAsia="Times New Roman" w:hAnsi="Times New Roman"/>
          <w:b/>
          <w:bCs/>
          <w:color w:val="000000"/>
          <w:sz w:val="24"/>
          <w:szCs w:val="24"/>
        </w:rPr>
      </w:pPr>
    </w:p>
    <w:p w14:paraId="60AB9296" w14:textId="77777777" w:rsidR="00645682" w:rsidRDefault="00645682" w:rsidP="00740992">
      <w:pPr>
        <w:rPr>
          <w:rFonts w:ascii="Times New Roman" w:eastAsia="Times New Roman" w:hAnsi="Times New Roman"/>
          <w:b/>
          <w:bCs/>
          <w:color w:val="000000"/>
          <w:sz w:val="24"/>
          <w:szCs w:val="24"/>
        </w:rPr>
      </w:pPr>
    </w:p>
    <w:p w14:paraId="388FCA64" w14:textId="77777777" w:rsidR="00645682" w:rsidRDefault="00645682" w:rsidP="00740992">
      <w:pPr>
        <w:rPr>
          <w:rFonts w:ascii="Times New Roman" w:eastAsia="Times New Roman" w:hAnsi="Times New Roman"/>
          <w:b/>
          <w:bCs/>
          <w:color w:val="000000"/>
          <w:sz w:val="24"/>
          <w:szCs w:val="24"/>
        </w:rPr>
      </w:pPr>
    </w:p>
    <w:p w14:paraId="5CCD9D5C" w14:textId="77777777" w:rsidR="00645682" w:rsidRDefault="00645682" w:rsidP="00740992">
      <w:pPr>
        <w:rPr>
          <w:rFonts w:ascii="Times New Roman" w:eastAsia="Times New Roman" w:hAnsi="Times New Roman"/>
          <w:b/>
          <w:bCs/>
          <w:color w:val="000000"/>
          <w:sz w:val="24"/>
          <w:szCs w:val="24"/>
        </w:rPr>
      </w:pPr>
    </w:p>
    <w:p w14:paraId="3965A8F0" w14:textId="77777777" w:rsidR="00645682" w:rsidRDefault="00645682" w:rsidP="00740992">
      <w:pPr>
        <w:rPr>
          <w:rFonts w:ascii="Times New Roman" w:eastAsia="Times New Roman" w:hAnsi="Times New Roman"/>
          <w:b/>
          <w:bCs/>
          <w:color w:val="000000"/>
          <w:sz w:val="24"/>
          <w:szCs w:val="24"/>
        </w:rPr>
      </w:pPr>
    </w:p>
    <w:p w14:paraId="3001FAB8" w14:textId="77777777" w:rsidR="00645682" w:rsidRDefault="00645682" w:rsidP="00740992">
      <w:pPr>
        <w:rPr>
          <w:rFonts w:ascii="Times New Roman" w:eastAsia="Times New Roman" w:hAnsi="Times New Roman"/>
          <w:b/>
          <w:bCs/>
          <w:color w:val="000000"/>
          <w:sz w:val="24"/>
          <w:szCs w:val="24"/>
        </w:rPr>
      </w:pPr>
    </w:p>
    <w:p w14:paraId="217FC4FB" w14:textId="77777777" w:rsidR="00645682" w:rsidRDefault="00645682" w:rsidP="00740992">
      <w:pPr>
        <w:rPr>
          <w:rFonts w:ascii="Times New Roman" w:eastAsia="Times New Roman" w:hAnsi="Times New Roman"/>
          <w:b/>
          <w:bCs/>
          <w:color w:val="000000"/>
          <w:sz w:val="24"/>
          <w:szCs w:val="24"/>
        </w:rPr>
      </w:pPr>
    </w:p>
    <w:p w14:paraId="5112DBE9" w14:textId="77777777" w:rsidR="00645682" w:rsidRDefault="00645682" w:rsidP="00740992">
      <w:pPr>
        <w:rPr>
          <w:rFonts w:ascii="Times New Roman" w:eastAsia="Times New Roman" w:hAnsi="Times New Roman"/>
          <w:b/>
          <w:bCs/>
          <w:color w:val="000000"/>
          <w:sz w:val="24"/>
          <w:szCs w:val="24"/>
        </w:rPr>
      </w:pPr>
    </w:p>
    <w:p w14:paraId="0D13F672" w14:textId="77777777" w:rsidR="00645682" w:rsidRDefault="00645682" w:rsidP="00740992">
      <w:pPr>
        <w:rPr>
          <w:rFonts w:ascii="Times New Roman" w:eastAsia="Times New Roman" w:hAnsi="Times New Roman"/>
          <w:b/>
          <w:bCs/>
          <w:color w:val="000000"/>
          <w:sz w:val="24"/>
          <w:szCs w:val="24"/>
        </w:rPr>
      </w:pPr>
    </w:p>
    <w:p w14:paraId="69FB2185" w14:textId="77777777" w:rsidR="00645682" w:rsidRDefault="00645682" w:rsidP="00740992">
      <w:pPr>
        <w:rPr>
          <w:rFonts w:ascii="Times New Roman" w:eastAsia="Times New Roman" w:hAnsi="Times New Roman"/>
          <w:b/>
          <w:bCs/>
          <w:color w:val="000000"/>
          <w:sz w:val="24"/>
          <w:szCs w:val="24"/>
        </w:rPr>
      </w:pPr>
    </w:p>
    <w:p w14:paraId="58D423E8" w14:textId="77777777" w:rsidR="00740992" w:rsidRPr="00A21ECD" w:rsidRDefault="00740992" w:rsidP="00740992">
      <w:pP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lastRenderedPageBreak/>
        <w:t>Figure 1</w:t>
      </w:r>
    </w:p>
    <w:p w14:paraId="5D725857" w14:textId="77777777" w:rsidR="00740992" w:rsidRPr="00A21ECD" w:rsidRDefault="00740992" w:rsidP="00740992">
      <w:pPr>
        <w:spacing w:line="257" w:lineRule="auto"/>
        <w:rPr>
          <w:rFonts w:ascii="Times New Roman" w:eastAsia="Times New Roman" w:hAnsi="Times New Roman"/>
          <w:color w:val="000000"/>
          <w:sz w:val="24"/>
          <w:szCs w:val="24"/>
        </w:rPr>
      </w:pPr>
      <w:r w:rsidRPr="00A21ECD">
        <w:rPr>
          <w:rFonts w:ascii="Times New Roman" w:eastAsia="Times New Roman" w:hAnsi="Times New Roman"/>
          <w:i/>
          <w:iCs/>
          <w:color w:val="000000"/>
          <w:sz w:val="24"/>
          <w:szCs w:val="24"/>
        </w:rPr>
        <w:t>Student Formal Test Scores – Enrolled in Ramp Up to Algebra Intervention or not (N = 29)</w:t>
      </w:r>
    </w:p>
    <w:p w14:paraId="06B3F260" w14:textId="2A187AEA" w:rsidR="00740992" w:rsidRDefault="00740992" w:rsidP="00740992">
      <w:pPr>
        <w:spacing w:line="480" w:lineRule="auto"/>
      </w:pPr>
      <w:r>
        <w:rPr>
          <w:noProof/>
        </w:rPr>
        <w:drawing>
          <wp:inline distT="0" distB="0" distL="0" distR="0" wp14:anchorId="43772C36" wp14:editId="7BDEB32F">
            <wp:extent cx="4572000" cy="2743200"/>
            <wp:effectExtent l="0" t="0" r="0" b="0"/>
            <wp:docPr id="1" name="Picture 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14:paraId="40660E83" w14:textId="77777777" w:rsidR="00740992" w:rsidRPr="00A21ECD" w:rsidRDefault="00740992" w:rsidP="00740992">
      <w:pPr>
        <w:jc w:val="center"/>
        <w:rPr>
          <w:rFonts w:ascii="Times New Roman" w:eastAsia="Times New Roman" w:hAnsi="Times New Roman"/>
          <w:color w:val="000000"/>
          <w:sz w:val="24"/>
          <w:szCs w:val="24"/>
        </w:rPr>
      </w:pPr>
      <w:r w:rsidRPr="00A21ECD">
        <w:rPr>
          <w:rFonts w:ascii="Times New Roman" w:eastAsia="Times New Roman" w:hAnsi="Times New Roman"/>
          <w:b/>
          <w:bCs/>
          <w:caps/>
          <w:color w:val="000000"/>
          <w:sz w:val="24"/>
          <w:szCs w:val="24"/>
        </w:rPr>
        <w:br w:type="page"/>
      </w:r>
      <w:r w:rsidRPr="00A21ECD">
        <w:rPr>
          <w:rFonts w:ascii="Times New Roman" w:eastAsia="Times New Roman" w:hAnsi="Times New Roman"/>
          <w:b/>
          <w:bCs/>
          <w:caps/>
          <w:color w:val="000000"/>
          <w:sz w:val="24"/>
          <w:szCs w:val="24"/>
        </w:rPr>
        <w:lastRenderedPageBreak/>
        <w:t>CHAPTER V</w:t>
      </w:r>
    </w:p>
    <w:p w14:paraId="264795ED" w14:textId="77777777" w:rsidR="00740992" w:rsidRPr="00A21ECD" w:rsidRDefault="00740992" w:rsidP="00740992">
      <w:pPr>
        <w:spacing w:line="257" w:lineRule="auto"/>
        <w:jc w:val="center"/>
        <w:rPr>
          <w:rFonts w:ascii="Times New Roman" w:eastAsia="Times New Roman" w:hAnsi="Times New Roman"/>
          <w:color w:val="000000"/>
          <w:sz w:val="24"/>
          <w:szCs w:val="24"/>
        </w:rPr>
      </w:pPr>
      <w:r w:rsidRPr="00A21ECD">
        <w:rPr>
          <w:rFonts w:ascii="Times New Roman" w:eastAsia="Times New Roman" w:hAnsi="Times New Roman"/>
          <w:b/>
          <w:bCs/>
          <w:caps/>
          <w:color w:val="000000"/>
          <w:sz w:val="24"/>
          <w:szCs w:val="24"/>
        </w:rPr>
        <w:t>DISCUSSION</w:t>
      </w:r>
    </w:p>
    <w:p w14:paraId="234F72E0"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A21ECD">
        <w:rPr>
          <w:rFonts w:ascii="Times New Roman" w:eastAsia="Times New Roman" w:hAnsi="Times New Roman"/>
          <w:color w:val="000000"/>
          <w:sz w:val="24"/>
          <w:szCs w:val="24"/>
        </w:rPr>
        <w:t xml:space="preserve">The purpose of this study was to determine if students who were enrolled in Ramp Up to Algebra Intervention would earn higher scores on benchmark assessments and state required assessments than those students who did not participate in this intervention. The original hypothesis, that the students who were enrolled in the intervention would achieve higher test scores, was not supported. There was no significant relationship found between test scores of students who were enrolled in Ramp Up to Algebra Intervention and students who were not enrolled in Ramp Up to Algebra Intervention. </w:t>
      </w:r>
    </w:p>
    <w:p w14:paraId="39F6C3AE"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Implications of Results</w:t>
      </w:r>
    </w:p>
    <w:p w14:paraId="4ABDCEEA"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The results of this study suggest that there is no relationship between test scores of students who were enrolled in Ramp Up to Algebra Intervention and students who were not enrolled in Ramp Up to Algebra Intervention. Despite the scripted pacing guided intervention course curriculum being differentiated due to student IEPs, no significant relationship between students who were enrolled in Ramp up to Algebra or students who did not receive the intervention was observed. Students enrolled in Ramp up to Algebra Intervention have lower middle school test scores which means they require the intervention in their ninth-grade year to attempt to close the learning gaps that exist in their mathematic skills. </w:t>
      </w:r>
    </w:p>
    <w:p w14:paraId="6EB7C5A4"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Theoretical Consequences</w:t>
      </w:r>
    </w:p>
    <w:p w14:paraId="1B260E3B"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The results of the data analysis indicated that that there was a slight difference in scores between the two groups of participants. A medium effect size was determined when reviewing the data. The sample size of the data collected was small; if the researcher had chosen a larger</w:t>
      </w:r>
      <w:r w:rsidRPr="00A21ECD">
        <w:rPr>
          <w:rFonts w:ascii="Times New Roman" w:eastAsia="Times New Roman" w:hAnsi="Times New Roman"/>
          <w:color w:val="000000"/>
          <w:sz w:val="24"/>
          <w:szCs w:val="24"/>
        </w:rPr>
        <w:t xml:space="preserve"> </w:t>
      </w:r>
      <w:r w:rsidRPr="00A21ECD">
        <w:rPr>
          <w:rFonts w:ascii="Times New Roman" w:eastAsia="Times New Roman" w:hAnsi="Times New Roman"/>
          <w:color w:val="000000"/>
          <w:sz w:val="24"/>
          <w:szCs w:val="24"/>
        </w:rPr>
        <w:lastRenderedPageBreak/>
        <w:t xml:space="preserve">sample size, perhaps the results would have revealed a larger difference between the students who were enrolled in Ramp </w:t>
      </w:r>
      <w:r w:rsidRPr="00061E75">
        <w:rPr>
          <w:rFonts w:ascii="Times New Roman" w:eastAsia="Times New Roman" w:hAnsi="Times New Roman"/>
          <w:sz w:val="24"/>
          <w:szCs w:val="24"/>
        </w:rPr>
        <w:t xml:space="preserve">Up to Algebra Intervention and the students who were not. </w:t>
      </w:r>
    </w:p>
    <w:p w14:paraId="1DFCA568" w14:textId="77777777" w:rsidR="00740992" w:rsidRPr="00061E75" w:rsidRDefault="00740992" w:rsidP="00740992">
      <w:pPr>
        <w:spacing w:line="480" w:lineRule="auto"/>
        <w:jc w:val="center"/>
        <w:rPr>
          <w:rFonts w:ascii="Times New Roman" w:eastAsia="Times New Roman" w:hAnsi="Times New Roman"/>
          <w:sz w:val="24"/>
          <w:szCs w:val="24"/>
        </w:rPr>
      </w:pPr>
      <w:r w:rsidRPr="00061E75">
        <w:rPr>
          <w:rFonts w:ascii="Times New Roman" w:eastAsia="Times New Roman" w:hAnsi="Times New Roman"/>
          <w:b/>
          <w:bCs/>
          <w:sz w:val="24"/>
          <w:szCs w:val="24"/>
        </w:rPr>
        <w:t>Threats to the Validity</w:t>
      </w:r>
    </w:p>
    <w:p w14:paraId="00625490"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This study used a small sample of only 29 participants which threatened the external validity of the research. Of the 29 participants, 11 were enrolled in the Ramp Up to Algebra Intervention and the remaining 18 did not receive the intervention supports. Students enrolled in Ramp Up to Algebra Interventions typically have a negative outlook on mathematics; they become frustrated easily and have attached a negative stigma towards learning mathematics. Because students struggle with that stigma and display their frustrations in multiple ways, the validity of the study analysis could have been affected by the students’ work ethic during the assessment itself. Students also are aware of when required state assessments will be administered because they receive a paper copy of their schedule. Based upon that schedule, some students are absent from school on test day and are required to make up the assessment, causing them to miss class on the make-up day. </w:t>
      </w:r>
    </w:p>
    <w:p w14:paraId="5752BA41" w14:textId="77777777" w:rsidR="00740992" w:rsidRPr="00A21ECD" w:rsidRDefault="00740992" w:rsidP="00740992">
      <w:pPr>
        <w:spacing w:line="480" w:lineRule="auto"/>
        <w:ind w:firstLine="720"/>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Connections to Previous Studies</w:t>
      </w:r>
    </w:p>
    <w:p w14:paraId="1BC03452" w14:textId="77777777" w:rsidR="00740992" w:rsidRPr="00061E75" w:rsidRDefault="00740992" w:rsidP="00740992">
      <w:pPr>
        <w:spacing w:line="480" w:lineRule="auto"/>
        <w:ind w:firstLine="720"/>
        <w:rPr>
          <w:rFonts w:ascii="Times New Roman" w:eastAsia="Times New Roman" w:hAnsi="Times New Roman"/>
          <w:sz w:val="24"/>
          <w:szCs w:val="24"/>
        </w:rPr>
      </w:pPr>
      <w:r w:rsidRPr="00A21ECD">
        <w:rPr>
          <w:rFonts w:ascii="Times New Roman" w:eastAsia="Times New Roman" w:hAnsi="Times New Roman"/>
          <w:color w:val="000000"/>
          <w:sz w:val="24"/>
          <w:szCs w:val="24"/>
        </w:rPr>
        <w:t xml:space="preserve">The results of this study connect to previous literature related to the success of Ramp Up to Algebra Intervention and the positive features of the program such as teacher feedback, student feedback and improvement in test scores, even if the improvement is minimal. </w:t>
      </w:r>
      <w:proofErr w:type="spellStart"/>
      <w:r w:rsidRPr="00A21ECD">
        <w:rPr>
          <w:rFonts w:ascii="Times New Roman" w:eastAsia="Times New Roman" w:hAnsi="Times New Roman"/>
          <w:color w:val="000000"/>
          <w:sz w:val="24"/>
          <w:szCs w:val="24"/>
        </w:rPr>
        <w:t>Resendez</w:t>
      </w:r>
      <w:proofErr w:type="spellEnd"/>
      <w:r w:rsidRPr="00A21ECD">
        <w:rPr>
          <w:rFonts w:ascii="Times New Roman" w:eastAsia="Times New Roman" w:hAnsi="Times New Roman"/>
          <w:color w:val="000000"/>
          <w:sz w:val="24"/>
          <w:szCs w:val="24"/>
        </w:rPr>
        <w:t xml:space="preserve"> and </w:t>
      </w:r>
      <w:proofErr w:type="spellStart"/>
      <w:r w:rsidRPr="00A21ECD">
        <w:rPr>
          <w:rFonts w:ascii="Times New Roman" w:eastAsia="Times New Roman" w:hAnsi="Times New Roman"/>
          <w:color w:val="000000"/>
          <w:sz w:val="24"/>
          <w:szCs w:val="24"/>
        </w:rPr>
        <w:t>Azin</w:t>
      </w:r>
      <w:proofErr w:type="spellEnd"/>
      <w:r w:rsidRPr="00A21ECD">
        <w:rPr>
          <w:rFonts w:ascii="Times New Roman" w:eastAsia="Times New Roman" w:hAnsi="Times New Roman"/>
          <w:color w:val="000000"/>
          <w:sz w:val="24"/>
          <w:szCs w:val="24"/>
        </w:rPr>
        <w:t xml:space="preserve"> (2013) found that Ramp Up to Intervention provided students stronger foundational math skills which are critical to students’ future math courses because the skills included in the material build upon one another, along with achievement on higher-level math assessments and </w:t>
      </w:r>
      <w:r w:rsidRPr="00061E75">
        <w:rPr>
          <w:rFonts w:ascii="Times New Roman" w:eastAsia="Times New Roman" w:hAnsi="Times New Roman"/>
          <w:sz w:val="24"/>
          <w:szCs w:val="24"/>
        </w:rPr>
        <w:t xml:space="preserve">higher rated math course success. According to </w:t>
      </w:r>
      <w:proofErr w:type="spellStart"/>
      <w:r w:rsidRPr="00061E75">
        <w:rPr>
          <w:rFonts w:ascii="Times New Roman" w:eastAsia="Times New Roman" w:hAnsi="Times New Roman"/>
          <w:sz w:val="24"/>
          <w:szCs w:val="24"/>
        </w:rPr>
        <w:t>Resendez</w:t>
      </w:r>
      <w:proofErr w:type="spellEnd"/>
      <w:r w:rsidRPr="00061E75">
        <w:rPr>
          <w:rFonts w:ascii="Times New Roman" w:eastAsia="Times New Roman" w:hAnsi="Times New Roman"/>
          <w:sz w:val="24"/>
          <w:szCs w:val="24"/>
        </w:rPr>
        <w:t xml:space="preserve"> and </w:t>
      </w:r>
      <w:proofErr w:type="spellStart"/>
      <w:r w:rsidRPr="00061E75">
        <w:rPr>
          <w:rFonts w:ascii="Times New Roman" w:eastAsia="Times New Roman" w:hAnsi="Times New Roman"/>
          <w:sz w:val="24"/>
          <w:szCs w:val="24"/>
        </w:rPr>
        <w:t>Azin</w:t>
      </w:r>
      <w:proofErr w:type="spellEnd"/>
      <w:r w:rsidRPr="00061E75">
        <w:rPr>
          <w:rFonts w:ascii="Times New Roman" w:eastAsia="Times New Roman" w:hAnsi="Times New Roman"/>
          <w:sz w:val="24"/>
          <w:szCs w:val="24"/>
        </w:rPr>
        <w:t xml:space="preserve">, Algebra frequently </w:t>
      </w:r>
      <w:proofErr w:type="gramStart"/>
      <w:r w:rsidRPr="00061E75">
        <w:rPr>
          <w:rFonts w:ascii="Times New Roman" w:eastAsia="Times New Roman" w:hAnsi="Times New Roman"/>
          <w:sz w:val="24"/>
          <w:szCs w:val="24"/>
        </w:rPr>
        <w:t xml:space="preserve">is </w:t>
      </w:r>
      <w:r w:rsidRPr="00061E75">
        <w:rPr>
          <w:rFonts w:ascii="Times New Roman" w:eastAsia="Times New Roman" w:hAnsi="Times New Roman"/>
          <w:sz w:val="24"/>
          <w:szCs w:val="24"/>
        </w:rPr>
        <w:lastRenderedPageBreak/>
        <w:t>considered to be</w:t>
      </w:r>
      <w:proofErr w:type="gramEnd"/>
      <w:r w:rsidRPr="00061E75">
        <w:rPr>
          <w:rFonts w:ascii="Times New Roman" w:eastAsia="Times New Roman" w:hAnsi="Times New Roman"/>
          <w:sz w:val="24"/>
          <w:szCs w:val="24"/>
        </w:rPr>
        <w:t xml:space="preserve"> a gatekeeper subject because Algebra is the first in a series of higher-level mathematics courses necessary to graduate from high school and ultimately perform more successfully in a math or science related career field. The research also noted that students who do not pass Algebra in high school (or middle school, if applicable) likely will be required to enroll in remedial mathematics at the post-secondary level, thus requiring additional time for the students to earn a degree. </w:t>
      </w:r>
    </w:p>
    <w:p w14:paraId="37A3F473" w14:textId="77777777" w:rsidR="00740992" w:rsidRPr="00A21ECD" w:rsidRDefault="00740992" w:rsidP="00740992">
      <w:pPr>
        <w:spacing w:line="480" w:lineRule="auto"/>
        <w:ind w:firstLine="720"/>
        <w:rPr>
          <w:rFonts w:ascii="Times New Roman" w:eastAsia="Times New Roman" w:hAnsi="Times New Roman"/>
          <w:color w:val="000000"/>
          <w:sz w:val="24"/>
          <w:szCs w:val="24"/>
        </w:rPr>
      </w:pPr>
      <w:r w:rsidRPr="00061E75">
        <w:rPr>
          <w:rFonts w:ascii="Times New Roman" w:eastAsia="Times New Roman" w:hAnsi="Times New Roman"/>
          <w:sz w:val="24"/>
          <w:szCs w:val="24"/>
        </w:rPr>
        <w:t xml:space="preserve">The results of the current study also connect to research completed by </w:t>
      </w:r>
      <w:proofErr w:type="spellStart"/>
      <w:r w:rsidRPr="00061E75">
        <w:rPr>
          <w:rFonts w:ascii="Times New Roman" w:eastAsia="Times New Roman" w:hAnsi="Times New Roman"/>
          <w:sz w:val="24"/>
          <w:szCs w:val="24"/>
        </w:rPr>
        <w:t>Monye</w:t>
      </w:r>
      <w:proofErr w:type="spellEnd"/>
      <w:r w:rsidRPr="00061E75">
        <w:rPr>
          <w:rFonts w:ascii="Times New Roman" w:eastAsia="Times New Roman" w:hAnsi="Times New Roman"/>
          <w:sz w:val="24"/>
          <w:szCs w:val="24"/>
        </w:rPr>
        <w:t xml:space="preserve"> (2016) which notes that the math skills acquisition of students with learning disabilities has been declining in recent years. The </w:t>
      </w:r>
      <w:proofErr w:type="spellStart"/>
      <w:r w:rsidRPr="00061E75">
        <w:rPr>
          <w:rFonts w:ascii="Times New Roman" w:eastAsia="Times New Roman" w:hAnsi="Times New Roman"/>
          <w:sz w:val="24"/>
          <w:szCs w:val="24"/>
        </w:rPr>
        <w:t>Monye</w:t>
      </w:r>
      <w:proofErr w:type="spellEnd"/>
      <w:r w:rsidRPr="00061E75">
        <w:rPr>
          <w:rFonts w:ascii="Times New Roman" w:eastAsia="Times New Roman" w:hAnsi="Times New Roman"/>
          <w:sz w:val="24"/>
          <w:szCs w:val="24"/>
        </w:rPr>
        <w:t xml:space="preserve"> study indicated that using traditional presentation models such as chunking, repeated practice, repetition of instruction, and offering directions presented in multiple forms does not have a significant impact on comprehension levels in mathematics. The study also revealed that students benefit from hands-on opportunities and movement in the classroom environment. These practices assist students with retaining information as their recall of that information is triggered by</w:t>
      </w:r>
      <w:r w:rsidRPr="00A21ECD">
        <w:rPr>
          <w:rFonts w:ascii="Times New Roman" w:eastAsia="Times New Roman" w:hAnsi="Times New Roman"/>
          <w:color w:val="000000"/>
          <w:sz w:val="24"/>
          <w:szCs w:val="24"/>
        </w:rPr>
        <w:t xml:space="preserve"> a memory of the activity or the way the material was presented. </w:t>
      </w:r>
    </w:p>
    <w:p w14:paraId="27E59E45" w14:textId="77777777" w:rsidR="00740992" w:rsidRPr="00A21ECD" w:rsidRDefault="00740992" w:rsidP="00740992">
      <w:pPr>
        <w:spacing w:line="480"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Implications for Future Research</w:t>
      </w:r>
    </w:p>
    <w:p w14:paraId="2EF58347" w14:textId="77777777" w:rsidR="00740992" w:rsidRPr="00061E75" w:rsidRDefault="00740992" w:rsidP="00740992">
      <w:pPr>
        <w:spacing w:line="480" w:lineRule="auto"/>
        <w:ind w:firstLine="720"/>
        <w:rPr>
          <w:rFonts w:ascii="Times New Roman" w:eastAsia="Times New Roman" w:hAnsi="Times New Roman"/>
          <w:sz w:val="24"/>
          <w:szCs w:val="24"/>
        </w:rPr>
      </w:pPr>
      <w:r w:rsidRPr="00A21ECD">
        <w:rPr>
          <w:rFonts w:ascii="Times New Roman" w:eastAsia="Times New Roman" w:hAnsi="Times New Roman"/>
          <w:color w:val="000000"/>
          <w:sz w:val="24"/>
          <w:szCs w:val="24"/>
        </w:rPr>
        <w:t xml:space="preserve">Future research should </w:t>
      </w:r>
      <w:r w:rsidRPr="00061E75">
        <w:rPr>
          <w:rFonts w:ascii="Times New Roman" w:eastAsia="Times New Roman" w:hAnsi="Times New Roman"/>
          <w:sz w:val="24"/>
          <w:szCs w:val="24"/>
        </w:rPr>
        <w:t>examine students’ specific learning disabilities as they relate to mathematics instruction. In gathering data, this</w:t>
      </w:r>
      <w:r w:rsidRPr="00061E75">
        <w:rPr>
          <w:rFonts w:ascii="Times New Roman" w:eastAsia="Times New Roman" w:hAnsi="Times New Roman"/>
          <w:color w:val="FF0000"/>
          <w:sz w:val="24"/>
          <w:szCs w:val="24"/>
        </w:rPr>
        <w:t xml:space="preserve"> </w:t>
      </w:r>
      <w:r w:rsidRPr="00A21ECD">
        <w:rPr>
          <w:rFonts w:ascii="Times New Roman" w:eastAsia="Times New Roman" w:hAnsi="Times New Roman"/>
          <w:color w:val="000000"/>
          <w:sz w:val="24"/>
          <w:szCs w:val="24"/>
        </w:rPr>
        <w:t xml:space="preserve">researcher determined that simply being aware of students having IEPs does not provide enough specific detail as to their learning profiles and on which areas their IEPs focus. Future research also should include a larger number of participants and perhaps be conducted over multiple years of mathematics instruction. Gathering this data and breaking apart the stereotypes of intervention courses and the students enrolled in them </w:t>
      </w:r>
      <w:r w:rsidRPr="00A21ECD">
        <w:rPr>
          <w:rFonts w:ascii="Times New Roman" w:eastAsia="Times New Roman" w:hAnsi="Times New Roman"/>
          <w:color w:val="000000"/>
          <w:sz w:val="24"/>
          <w:szCs w:val="24"/>
        </w:rPr>
        <w:lastRenderedPageBreak/>
        <w:t xml:space="preserve">would provide more specific </w:t>
      </w:r>
      <w:r w:rsidRPr="00061E75">
        <w:rPr>
          <w:rFonts w:ascii="Times New Roman" w:eastAsia="Times New Roman" w:hAnsi="Times New Roman"/>
          <w:sz w:val="24"/>
          <w:szCs w:val="24"/>
        </w:rPr>
        <w:t>information. Breaking down the stereotypes would provide the researcher and teachers more understanding of differentiation and individual needs.</w:t>
      </w:r>
    </w:p>
    <w:p w14:paraId="1BB9F5D7" w14:textId="77777777" w:rsidR="00740992" w:rsidRPr="00061E75" w:rsidRDefault="00740992" w:rsidP="00740992">
      <w:pPr>
        <w:spacing w:line="480" w:lineRule="auto"/>
        <w:ind w:firstLine="720"/>
        <w:rPr>
          <w:rFonts w:ascii="Times New Roman" w:eastAsia="Times New Roman" w:hAnsi="Times New Roman"/>
          <w:sz w:val="24"/>
          <w:szCs w:val="24"/>
        </w:rPr>
      </w:pPr>
      <w:r w:rsidRPr="00061E75">
        <w:rPr>
          <w:rFonts w:ascii="Times New Roman" w:eastAsia="Times New Roman" w:hAnsi="Times New Roman"/>
          <w:sz w:val="24"/>
          <w:szCs w:val="24"/>
        </w:rPr>
        <w:t xml:space="preserve">Additionally, based upon an analysis of the data from this study and consideration of related research, it is possible that if participants in this study would have had the </w:t>
      </w:r>
      <w:proofErr w:type="spellStart"/>
      <w:r w:rsidRPr="00061E75">
        <w:rPr>
          <w:rFonts w:ascii="Times New Roman" w:eastAsia="Times New Roman" w:hAnsi="Times New Roman"/>
          <w:sz w:val="24"/>
          <w:szCs w:val="24"/>
        </w:rPr>
        <w:t>the</w:t>
      </w:r>
      <w:proofErr w:type="spellEnd"/>
      <w:r w:rsidRPr="00061E75">
        <w:rPr>
          <w:rFonts w:ascii="Times New Roman" w:eastAsia="Times New Roman" w:hAnsi="Times New Roman"/>
          <w:sz w:val="24"/>
          <w:szCs w:val="24"/>
        </w:rPr>
        <w:t xml:space="preserve"> Ramp Up Benchmark/MCAP Assessments presented in multiple ways and had the chance to use their prior knowledge of mathematics material without a time constraint, their scores may have increased.  Therefore, it is recommended that future research consider these factors.</w:t>
      </w:r>
    </w:p>
    <w:p w14:paraId="4818F1AD" w14:textId="77777777" w:rsidR="00740992" w:rsidRPr="00A21ECD" w:rsidRDefault="00740992" w:rsidP="00740992">
      <w:pPr>
        <w:spacing w:line="480" w:lineRule="auto"/>
        <w:jc w:val="center"/>
        <w:rPr>
          <w:rFonts w:ascii="Times New Roman" w:eastAsia="Times New Roman" w:hAnsi="Times New Roman"/>
          <w:color w:val="000000"/>
          <w:sz w:val="24"/>
          <w:szCs w:val="24"/>
        </w:rPr>
      </w:pPr>
      <w:r w:rsidRPr="00A21ECD">
        <w:rPr>
          <w:rFonts w:ascii="Times New Roman" w:eastAsia="Times New Roman" w:hAnsi="Times New Roman"/>
          <w:b/>
          <w:bCs/>
          <w:color w:val="000000"/>
          <w:sz w:val="24"/>
          <w:szCs w:val="24"/>
        </w:rPr>
        <w:t>Conclusion</w:t>
      </w:r>
    </w:p>
    <w:p w14:paraId="7FFC5901" w14:textId="77777777" w:rsidR="00740992" w:rsidRPr="00061E75" w:rsidRDefault="00740992" w:rsidP="00740992">
      <w:pPr>
        <w:spacing w:line="480" w:lineRule="auto"/>
        <w:ind w:firstLine="720"/>
        <w:rPr>
          <w:rFonts w:ascii="Times New Roman" w:eastAsia="Times New Roman" w:hAnsi="Times New Roman"/>
          <w:sz w:val="24"/>
          <w:szCs w:val="24"/>
        </w:rPr>
      </w:pPr>
      <w:r w:rsidRPr="00A21ECD">
        <w:rPr>
          <w:rFonts w:ascii="Times New Roman" w:eastAsia="Times New Roman" w:hAnsi="Times New Roman"/>
          <w:color w:val="000000"/>
          <w:sz w:val="24"/>
          <w:szCs w:val="24"/>
        </w:rPr>
        <w:t xml:space="preserve">Ensuring that equitable education is offered to all students can present several challenges. </w:t>
      </w:r>
      <w:proofErr w:type="gramStart"/>
      <w:r w:rsidRPr="00A21ECD">
        <w:rPr>
          <w:rFonts w:ascii="Times New Roman" w:eastAsia="Times New Roman" w:hAnsi="Times New Roman"/>
          <w:color w:val="000000"/>
          <w:sz w:val="24"/>
          <w:szCs w:val="24"/>
        </w:rPr>
        <w:t>With regard to</w:t>
      </w:r>
      <w:proofErr w:type="gramEnd"/>
      <w:r w:rsidRPr="00A21ECD">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m</w:t>
      </w:r>
      <w:r w:rsidRPr="00A21ECD">
        <w:rPr>
          <w:rFonts w:ascii="Times New Roman" w:eastAsia="Times New Roman" w:hAnsi="Times New Roman"/>
          <w:color w:val="000000"/>
          <w:sz w:val="24"/>
          <w:szCs w:val="24"/>
        </w:rPr>
        <w:t>athematics, equitable education needs to be a priority; offering students the opportunity to enroll in Ramp up to Algebra Intervention rather than basing Algebra enrollment on students’ test scores should be an option. This opportunity would enable students to gain more skill, build their prior knowledge, and better prepare them for Algebra I and higher-level mathematics while still in public school. Prior research has suggested that Ramp up to Algebra Intervention students become more mathematically aware of skills and have a useful “</w:t>
      </w:r>
      <w:proofErr w:type="gramStart"/>
      <w:r w:rsidRPr="00A21ECD">
        <w:rPr>
          <w:rFonts w:ascii="Times New Roman" w:eastAsia="Times New Roman" w:hAnsi="Times New Roman"/>
          <w:color w:val="000000"/>
          <w:sz w:val="24"/>
          <w:szCs w:val="24"/>
        </w:rPr>
        <w:t>tool box</w:t>
      </w:r>
      <w:proofErr w:type="gramEnd"/>
      <w:r w:rsidRPr="00A21ECD">
        <w:rPr>
          <w:rFonts w:ascii="Times New Roman" w:eastAsia="Times New Roman" w:hAnsi="Times New Roman"/>
          <w:color w:val="000000"/>
          <w:sz w:val="24"/>
          <w:szCs w:val="24"/>
        </w:rPr>
        <w:t xml:space="preserve">” of skills to bring with them </w:t>
      </w:r>
      <w:r w:rsidRPr="00061E75">
        <w:rPr>
          <w:rFonts w:ascii="Times New Roman" w:eastAsia="Times New Roman" w:hAnsi="Times New Roman"/>
          <w:sz w:val="24"/>
          <w:szCs w:val="24"/>
        </w:rPr>
        <w:t xml:space="preserve">beyond high school level mathematics. </w:t>
      </w:r>
    </w:p>
    <w:p w14:paraId="0EEF6F6E" w14:textId="77777777" w:rsidR="00740992" w:rsidRDefault="00740992" w:rsidP="00740992">
      <w:pPr>
        <w:spacing w:line="480" w:lineRule="auto"/>
        <w:ind w:firstLine="720"/>
        <w:rPr>
          <w:rFonts w:ascii="Times New Roman" w:eastAsia="Times New Roman" w:hAnsi="Times New Roman"/>
          <w:color w:val="000000"/>
          <w:sz w:val="24"/>
          <w:szCs w:val="24"/>
        </w:rPr>
      </w:pPr>
      <w:r w:rsidRPr="00061E75">
        <w:rPr>
          <w:rFonts w:ascii="Times New Roman" w:eastAsia="Times New Roman" w:hAnsi="Times New Roman"/>
          <w:sz w:val="24"/>
          <w:szCs w:val="24"/>
        </w:rPr>
        <w:t xml:space="preserve">This study examined whether students enrolled in Ramp Up to Algebra Intervention displayed higher test scores, thereby indicating that their overall comprehension and understanding of the math improved when receiving the intervention supports. While no statistically significant results were obtained, this outcome may suggest that mathematics teachers are making improvements in their presentation of the curriculum </w:t>
      </w:r>
      <w:proofErr w:type="gramStart"/>
      <w:r w:rsidRPr="00061E75">
        <w:rPr>
          <w:rFonts w:ascii="Times New Roman" w:eastAsia="Times New Roman" w:hAnsi="Times New Roman"/>
          <w:sz w:val="24"/>
          <w:szCs w:val="24"/>
        </w:rPr>
        <w:t>in order to</w:t>
      </w:r>
      <w:proofErr w:type="gramEnd"/>
      <w:r w:rsidRPr="00061E75">
        <w:rPr>
          <w:rFonts w:ascii="Times New Roman" w:eastAsia="Times New Roman" w:hAnsi="Times New Roman"/>
          <w:sz w:val="24"/>
          <w:szCs w:val="24"/>
        </w:rPr>
        <w:t xml:space="preserve"> provide all learners the opportunity to truly understand mathematics. Educators must continue to provide</w:t>
      </w:r>
      <w:r w:rsidRPr="00A21ECD">
        <w:rPr>
          <w:rFonts w:ascii="Times New Roman" w:eastAsia="Times New Roman" w:hAnsi="Times New Roman"/>
          <w:color w:val="000000"/>
          <w:sz w:val="24"/>
          <w:szCs w:val="24"/>
        </w:rPr>
        <w:t xml:space="preserve"> </w:t>
      </w:r>
      <w:r w:rsidRPr="00A21ECD">
        <w:rPr>
          <w:rFonts w:ascii="Times New Roman" w:eastAsia="Times New Roman" w:hAnsi="Times New Roman"/>
          <w:color w:val="000000"/>
          <w:sz w:val="24"/>
          <w:szCs w:val="24"/>
        </w:rPr>
        <w:lastRenderedPageBreak/>
        <w:t>support for students with IEPs who struggle with mathematics. However, with more equitable opportunities for students to enroll in intervention course options, perhaps they will achieve a greater level of success.</w:t>
      </w:r>
    </w:p>
    <w:p w14:paraId="12929060" w14:textId="77777777" w:rsidR="00740992" w:rsidRPr="009A231F" w:rsidRDefault="00740992" w:rsidP="00740992">
      <w:pPr>
        <w:spacing w:line="48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br w:type="page"/>
      </w:r>
      <w:r w:rsidRPr="009A231F">
        <w:rPr>
          <w:rFonts w:ascii="Times New Roman" w:eastAsia="Times New Roman" w:hAnsi="Times New Roman"/>
          <w:color w:val="000000"/>
          <w:sz w:val="24"/>
          <w:szCs w:val="24"/>
        </w:rPr>
        <w:lastRenderedPageBreak/>
        <w:t>References</w:t>
      </w:r>
    </w:p>
    <w:p w14:paraId="73D9C19C"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proofErr w:type="spellStart"/>
      <w:r w:rsidRPr="009A231F">
        <w:rPr>
          <w:rFonts w:ascii="Times New Roman" w:eastAsia="Times New Roman" w:hAnsi="Times New Roman"/>
          <w:color w:val="000000"/>
          <w:sz w:val="24"/>
          <w:szCs w:val="24"/>
        </w:rPr>
        <w:t>Boaler</w:t>
      </w:r>
      <w:proofErr w:type="spellEnd"/>
      <w:r w:rsidRPr="009A231F">
        <w:rPr>
          <w:rFonts w:ascii="Times New Roman" w:eastAsia="Times New Roman" w:hAnsi="Times New Roman"/>
          <w:color w:val="000000"/>
          <w:sz w:val="24"/>
          <w:szCs w:val="24"/>
        </w:rPr>
        <w:t>, J. (2002). Learning from teaching: Exploring the relationship between reform curriculum and equity.</w:t>
      </w:r>
      <w:r w:rsidRPr="009A231F">
        <w:rPr>
          <w:rFonts w:ascii="Times New Roman" w:eastAsia="Times New Roman" w:hAnsi="Times New Roman"/>
          <w:i/>
          <w:iCs/>
          <w:color w:val="000000"/>
          <w:sz w:val="24"/>
          <w:szCs w:val="24"/>
        </w:rPr>
        <w:t> Journal for Research in Mathematics Education, 33</w:t>
      </w:r>
      <w:r w:rsidRPr="009A231F">
        <w:rPr>
          <w:rFonts w:ascii="Times New Roman" w:eastAsia="Times New Roman" w:hAnsi="Times New Roman"/>
          <w:color w:val="000000"/>
          <w:sz w:val="24"/>
          <w:szCs w:val="24"/>
        </w:rPr>
        <w:t xml:space="preserve">(4), 239-258. </w:t>
      </w:r>
    </w:p>
    <w:p w14:paraId="03E57F14"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r w:rsidRPr="009A231F">
        <w:rPr>
          <w:rFonts w:ascii="Times New Roman" w:eastAsia="Times New Roman" w:hAnsi="Times New Roman"/>
          <w:color w:val="000000"/>
          <w:sz w:val="24"/>
          <w:szCs w:val="24"/>
        </w:rPr>
        <w:t>Epstein, T., Mayorga, E., &amp; Nelson, J. (2011). Teaching about race in an urban history class: The effects of culturally responsive teaching.</w:t>
      </w:r>
      <w:r w:rsidRPr="009A231F">
        <w:rPr>
          <w:rFonts w:ascii="Times New Roman" w:eastAsia="Times New Roman" w:hAnsi="Times New Roman"/>
          <w:i/>
          <w:iCs/>
          <w:color w:val="000000"/>
          <w:sz w:val="24"/>
          <w:szCs w:val="24"/>
        </w:rPr>
        <w:t> Journal of Social Studies Research, 35</w:t>
      </w:r>
      <w:r w:rsidRPr="009A231F">
        <w:rPr>
          <w:rFonts w:ascii="Times New Roman" w:eastAsia="Times New Roman" w:hAnsi="Times New Roman"/>
          <w:color w:val="000000"/>
          <w:sz w:val="24"/>
          <w:szCs w:val="24"/>
        </w:rPr>
        <w:t xml:space="preserve">(1), 2-21. </w:t>
      </w:r>
    </w:p>
    <w:p w14:paraId="1648CA0E"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proofErr w:type="spellStart"/>
      <w:r w:rsidRPr="009A231F">
        <w:rPr>
          <w:rFonts w:ascii="Times New Roman" w:eastAsia="Times New Roman" w:hAnsi="Times New Roman"/>
          <w:color w:val="000000"/>
          <w:sz w:val="24"/>
          <w:szCs w:val="24"/>
        </w:rPr>
        <w:t>Fabionar</w:t>
      </w:r>
      <w:proofErr w:type="spellEnd"/>
      <w:r w:rsidRPr="009A231F">
        <w:rPr>
          <w:rFonts w:ascii="Times New Roman" w:eastAsia="Times New Roman" w:hAnsi="Times New Roman"/>
          <w:color w:val="000000"/>
          <w:sz w:val="24"/>
          <w:szCs w:val="24"/>
        </w:rPr>
        <w:t xml:space="preserve">, J. O. (2020). Social justice teacher education for systems change." </w:t>
      </w:r>
      <w:r w:rsidRPr="009A231F">
        <w:rPr>
          <w:rFonts w:ascii="Times New Roman" w:eastAsia="Times New Roman" w:hAnsi="Times New Roman"/>
          <w:i/>
          <w:iCs/>
          <w:color w:val="000000"/>
          <w:sz w:val="24"/>
          <w:szCs w:val="24"/>
        </w:rPr>
        <w:t>Teacher Education Quarterly</w:t>
      </w:r>
      <w:r w:rsidRPr="009A231F">
        <w:rPr>
          <w:rFonts w:ascii="Times New Roman" w:eastAsia="Times New Roman" w:hAnsi="Times New Roman"/>
          <w:color w:val="000000"/>
          <w:sz w:val="24"/>
          <w:szCs w:val="24"/>
        </w:rPr>
        <w:t xml:space="preserve">, </w:t>
      </w:r>
      <w:r w:rsidRPr="009A231F">
        <w:rPr>
          <w:rFonts w:ascii="Times New Roman" w:eastAsia="Times New Roman" w:hAnsi="Times New Roman"/>
          <w:i/>
          <w:iCs/>
          <w:color w:val="000000"/>
          <w:sz w:val="24"/>
          <w:szCs w:val="24"/>
        </w:rPr>
        <w:t>47</w:t>
      </w:r>
      <w:r w:rsidRPr="009A231F">
        <w:rPr>
          <w:rFonts w:ascii="Times New Roman" w:eastAsia="Times New Roman" w:hAnsi="Times New Roman"/>
          <w:color w:val="000000"/>
          <w:sz w:val="24"/>
          <w:szCs w:val="24"/>
        </w:rPr>
        <w:t xml:space="preserve">(3), </w:t>
      </w:r>
      <w:r w:rsidRPr="009A231F">
        <w:rPr>
          <w:rFonts w:ascii="Times New Roman" w:hAnsi="Times New Roman"/>
          <w:sz w:val="24"/>
          <w:szCs w:val="24"/>
        </w:rPr>
        <w:t>145-151.</w:t>
      </w:r>
    </w:p>
    <w:p w14:paraId="017C3FE0" w14:textId="1A5C2203" w:rsidR="00A62238" w:rsidRPr="009A231F" w:rsidRDefault="00A62238" w:rsidP="00A62238">
      <w:pPr>
        <w:spacing w:after="0" w:line="480" w:lineRule="auto"/>
        <w:ind w:left="720" w:hanging="720"/>
        <w:rPr>
          <w:rStyle w:val="authors"/>
          <w:rFonts w:ascii="Times New Roman" w:eastAsia="Times New Roman" w:hAnsi="Times New Roman"/>
          <w:sz w:val="24"/>
          <w:szCs w:val="24"/>
        </w:rPr>
      </w:pPr>
      <w:r w:rsidRPr="009A231F">
        <w:rPr>
          <w:rFonts w:ascii="Times New Roman" w:eastAsia="Times New Roman" w:hAnsi="Times New Roman"/>
          <w:color w:val="000000"/>
          <w:sz w:val="24"/>
          <w:szCs w:val="24"/>
        </w:rPr>
        <w:t xml:space="preserve">Gustafson, </w:t>
      </w:r>
      <w:r w:rsidR="003E5A29" w:rsidRPr="009A231F">
        <w:rPr>
          <w:rFonts w:ascii="Times New Roman" w:eastAsia="Times New Roman" w:hAnsi="Times New Roman"/>
          <w:color w:val="000000"/>
          <w:sz w:val="24"/>
          <w:szCs w:val="24"/>
        </w:rPr>
        <w:t>J</w:t>
      </w:r>
      <w:r w:rsidR="003E5A29">
        <w:rPr>
          <w:rFonts w:ascii="Times New Roman" w:eastAsia="Times New Roman" w:hAnsi="Times New Roman"/>
          <w:color w:val="000000"/>
          <w:sz w:val="24"/>
          <w:szCs w:val="24"/>
        </w:rPr>
        <w:t>.</w:t>
      </w:r>
      <w:r w:rsidRPr="009A231F">
        <w:rPr>
          <w:rFonts w:ascii="Times New Roman" w:eastAsia="Times New Roman" w:hAnsi="Times New Roman"/>
          <w:color w:val="000000"/>
          <w:sz w:val="24"/>
          <w:szCs w:val="24"/>
        </w:rPr>
        <w:t xml:space="preserve">, Rasmussen, </w:t>
      </w:r>
      <w:r w:rsidR="003E5A29" w:rsidRPr="009A231F">
        <w:rPr>
          <w:rFonts w:ascii="Times New Roman" w:eastAsia="Times New Roman" w:hAnsi="Times New Roman"/>
          <w:color w:val="000000"/>
          <w:sz w:val="24"/>
          <w:szCs w:val="24"/>
        </w:rPr>
        <w:t>N</w:t>
      </w:r>
      <w:r w:rsidR="003E5A29">
        <w:rPr>
          <w:rFonts w:ascii="Times New Roman" w:eastAsia="Times New Roman" w:hAnsi="Times New Roman"/>
          <w:color w:val="000000"/>
          <w:sz w:val="24"/>
          <w:szCs w:val="24"/>
        </w:rPr>
        <w:t>.</w:t>
      </w:r>
      <w:r w:rsidRPr="009A231F">
        <w:rPr>
          <w:rFonts w:ascii="Times New Roman" w:eastAsia="Times New Roman" w:hAnsi="Times New Roman"/>
          <w:color w:val="000000"/>
          <w:sz w:val="24"/>
          <w:szCs w:val="24"/>
        </w:rPr>
        <w:t xml:space="preserve">, </w:t>
      </w:r>
      <w:proofErr w:type="spellStart"/>
      <w:r w:rsidRPr="009A231F">
        <w:rPr>
          <w:rFonts w:ascii="Times New Roman" w:eastAsia="Times New Roman" w:hAnsi="Times New Roman"/>
          <w:color w:val="000000"/>
          <w:sz w:val="24"/>
          <w:szCs w:val="24"/>
        </w:rPr>
        <w:t>Raskin</w:t>
      </w:r>
      <w:proofErr w:type="spellEnd"/>
      <w:r w:rsidRPr="009A231F">
        <w:rPr>
          <w:rFonts w:ascii="Times New Roman" w:eastAsia="Times New Roman" w:hAnsi="Times New Roman"/>
          <w:color w:val="000000"/>
          <w:sz w:val="24"/>
          <w:szCs w:val="24"/>
        </w:rPr>
        <w:t xml:space="preserve">, </w:t>
      </w:r>
      <w:r w:rsidR="003E5A29" w:rsidRPr="009A231F">
        <w:rPr>
          <w:rFonts w:ascii="Times New Roman" w:eastAsia="Times New Roman" w:hAnsi="Times New Roman"/>
          <w:color w:val="000000"/>
          <w:sz w:val="24"/>
          <w:szCs w:val="24"/>
        </w:rPr>
        <w:t>C</w:t>
      </w:r>
      <w:r w:rsidR="003E5A29">
        <w:rPr>
          <w:rFonts w:ascii="Times New Roman" w:eastAsia="Times New Roman" w:hAnsi="Times New Roman"/>
          <w:color w:val="000000"/>
          <w:sz w:val="24"/>
          <w:szCs w:val="24"/>
        </w:rPr>
        <w:t>.</w:t>
      </w:r>
      <w:r w:rsidR="003E5A29" w:rsidRPr="009A231F">
        <w:rPr>
          <w:rFonts w:ascii="Times New Roman" w:eastAsia="Times New Roman" w:hAnsi="Times New Roman"/>
          <w:color w:val="000000"/>
          <w:sz w:val="24"/>
          <w:szCs w:val="24"/>
        </w:rPr>
        <w:t xml:space="preserve"> </w:t>
      </w:r>
      <w:r w:rsidRPr="009A231F">
        <w:rPr>
          <w:rFonts w:ascii="Times New Roman" w:eastAsia="Times New Roman" w:hAnsi="Times New Roman"/>
          <w:color w:val="000000"/>
          <w:sz w:val="24"/>
          <w:szCs w:val="24"/>
        </w:rPr>
        <w:t>F.</w:t>
      </w:r>
      <w:r w:rsidRPr="009A231F">
        <w:rPr>
          <w:rFonts w:ascii="Times New Roman" w:hAnsi="Times New Roman"/>
          <w:sz w:val="24"/>
          <w:szCs w:val="24"/>
        </w:rPr>
        <w:t xml:space="preserve"> </w:t>
      </w:r>
      <w:r w:rsidRPr="009A231F">
        <w:rPr>
          <w:rFonts w:ascii="Times New Roman" w:eastAsia="Times New Roman" w:hAnsi="Times New Roman"/>
          <w:color w:val="000000"/>
          <w:sz w:val="24"/>
          <w:szCs w:val="24"/>
        </w:rPr>
        <w:t xml:space="preserve">(2020). Start with Race: Designing Racially Conscious Principals. </w:t>
      </w:r>
      <w:r w:rsidRPr="009A231F">
        <w:rPr>
          <w:rFonts w:ascii="Times New Roman" w:eastAsia="Times New Roman" w:hAnsi="Times New Roman"/>
          <w:i/>
          <w:iCs/>
          <w:color w:val="000000"/>
          <w:sz w:val="24"/>
          <w:szCs w:val="24"/>
        </w:rPr>
        <w:t>AASA Journal of Scholarship &amp; Practice</w:t>
      </w:r>
      <w:r w:rsidRPr="009A231F">
        <w:rPr>
          <w:rFonts w:ascii="Times New Roman" w:eastAsia="Times New Roman" w:hAnsi="Times New Roman"/>
          <w:color w:val="000000"/>
          <w:sz w:val="24"/>
          <w:szCs w:val="24"/>
        </w:rPr>
        <w:t xml:space="preserve">, </w:t>
      </w:r>
      <w:r w:rsidRPr="009A231F">
        <w:rPr>
          <w:rFonts w:ascii="Times New Roman" w:eastAsia="Times New Roman" w:hAnsi="Times New Roman"/>
          <w:i/>
          <w:iCs/>
          <w:color w:val="000000"/>
          <w:sz w:val="24"/>
          <w:szCs w:val="24"/>
        </w:rPr>
        <w:t>16</w:t>
      </w:r>
      <w:r w:rsidRPr="009A231F">
        <w:rPr>
          <w:rFonts w:ascii="Times New Roman" w:eastAsia="Times New Roman" w:hAnsi="Times New Roman"/>
          <w:color w:val="000000"/>
          <w:sz w:val="24"/>
          <w:szCs w:val="24"/>
        </w:rPr>
        <w:t xml:space="preserve">(4), </w:t>
      </w:r>
      <w:r w:rsidRPr="009A231F">
        <w:rPr>
          <w:rFonts w:ascii="Times New Roman" w:hAnsi="Times New Roman"/>
          <w:sz w:val="24"/>
          <w:szCs w:val="24"/>
        </w:rPr>
        <w:t>8</w:t>
      </w:r>
      <w:r w:rsidRPr="009A231F">
        <w:rPr>
          <w:rFonts w:ascii="Times New Roman" w:eastAsia="Times New Roman" w:hAnsi="Times New Roman"/>
          <w:color w:val="000000"/>
          <w:sz w:val="24"/>
          <w:szCs w:val="24"/>
        </w:rPr>
        <w:t xml:space="preserve">-23 </w:t>
      </w:r>
      <w:r w:rsidRPr="009A231F">
        <w:rPr>
          <w:rStyle w:val="CommentSubjectChar"/>
          <w:rFonts w:ascii="Times New Roman" w:hAnsi="Times New Roman"/>
          <w:b w:val="0"/>
          <w:bCs w:val="0"/>
          <w:color w:val="000000"/>
          <w:sz w:val="24"/>
          <w:szCs w:val="24"/>
        </w:rPr>
        <w:t xml:space="preserve">Kumar, R., </w:t>
      </w:r>
      <w:proofErr w:type="spellStart"/>
      <w:r w:rsidRPr="009A231F">
        <w:rPr>
          <w:rStyle w:val="CommentSubjectChar"/>
          <w:rFonts w:ascii="Times New Roman" w:hAnsi="Times New Roman"/>
          <w:b w:val="0"/>
          <w:bCs w:val="0"/>
          <w:color w:val="000000"/>
          <w:sz w:val="24"/>
          <w:szCs w:val="24"/>
        </w:rPr>
        <w:t>Zusho</w:t>
      </w:r>
      <w:proofErr w:type="spellEnd"/>
      <w:r w:rsidRPr="009A231F">
        <w:rPr>
          <w:rStyle w:val="CommentSubjectChar"/>
          <w:rFonts w:ascii="Times New Roman" w:hAnsi="Times New Roman"/>
          <w:b w:val="0"/>
          <w:bCs w:val="0"/>
          <w:color w:val="000000"/>
          <w:sz w:val="24"/>
          <w:szCs w:val="24"/>
        </w:rPr>
        <w:t xml:space="preserve">, A., &amp; </w:t>
      </w:r>
      <w:proofErr w:type="spellStart"/>
      <w:r w:rsidRPr="009A231F">
        <w:rPr>
          <w:rStyle w:val="CommentSubjectChar"/>
          <w:rFonts w:ascii="Times New Roman" w:hAnsi="Times New Roman"/>
          <w:b w:val="0"/>
          <w:bCs w:val="0"/>
          <w:color w:val="000000"/>
          <w:sz w:val="24"/>
          <w:szCs w:val="24"/>
        </w:rPr>
        <w:t>Bondie</w:t>
      </w:r>
      <w:proofErr w:type="spellEnd"/>
      <w:r w:rsidRPr="009A231F">
        <w:rPr>
          <w:rStyle w:val="CommentSubjectChar"/>
          <w:rFonts w:ascii="Times New Roman" w:hAnsi="Times New Roman"/>
          <w:b w:val="0"/>
          <w:bCs w:val="0"/>
          <w:color w:val="000000"/>
          <w:sz w:val="24"/>
          <w:szCs w:val="24"/>
        </w:rPr>
        <w:t>, R. (2018). Weaving cultural relevance and achievement motivation into inclusive classroom cultures. </w:t>
      </w:r>
      <w:r w:rsidRPr="009A231F">
        <w:rPr>
          <w:rStyle w:val="CommentSubjectChar"/>
          <w:rFonts w:ascii="Times New Roman" w:hAnsi="Times New Roman"/>
          <w:b w:val="0"/>
          <w:bCs w:val="0"/>
          <w:i/>
          <w:iCs/>
          <w:color w:val="000000"/>
          <w:sz w:val="24"/>
          <w:szCs w:val="24"/>
        </w:rPr>
        <w:t>Educational Psychologist, 53</w:t>
      </w:r>
      <w:r w:rsidRPr="009A231F">
        <w:rPr>
          <w:rStyle w:val="CommentSubjectChar"/>
          <w:rFonts w:ascii="Times New Roman" w:hAnsi="Times New Roman"/>
          <w:b w:val="0"/>
          <w:bCs w:val="0"/>
          <w:color w:val="000000"/>
          <w:sz w:val="24"/>
          <w:szCs w:val="24"/>
        </w:rPr>
        <w:t>(2), 78-96. </w:t>
      </w:r>
      <w:proofErr w:type="spellStart"/>
      <w:r w:rsidRPr="009A231F">
        <w:rPr>
          <w:rStyle w:val="CommentSubjectChar"/>
          <w:rFonts w:ascii="Times New Roman" w:hAnsi="Times New Roman"/>
          <w:b w:val="0"/>
          <w:bCs w:val="0"/>
          <w:color w:val="000000"/>
          <w:sz w:val="24"/>
          <w:szCs w:val="24"/>
        </w:rPr>
        <w:t>doi</w:t>
      </w:r>
      <w:proofErr w:type="spellEnd"/>
      <w:r w:rsidRPr="009A231F">
        <w:rPr>
          <w:rStyle w:val="CommentSubjectChar"/>
          <w:rFonts w:ascii="Times New Roman" w:hAnsi="Times New Roman"/>
          <w:b w:val="0"/>
          <w:bCs w:val="0"/>
          <w:color w:val="000000"/>
          <w:sz w:val="24"/>
          <w:szCs w:val="24"/>
        </w:rPr>
        <w:t>: </w:t>
      </w:r>
      <w:hyperlink r:id="rId12">
        <w:r w:rsidRPr="009A231F">
          <w:rPr>
            <w:rStyle w:val="authors"/>
            <w:rFonts w:ascii="Times New Roman" w:eastAsia="Times New Roman" w:hAnsi="Times New Roman"/>
            <w:sz w:val="24"/>
            <w:szCs w:val="24"/>
          </w:rPr>
          <w:t>10.1080/00461520.2018.1432361</w:t>
        </w:r>
      </w:hyperlink>
    </w:p>
    <w:p w14:paraId="16AB1E1D" w14:textId="77777777" w:rsidR="00A62238" w:rsidRPr="009A231F" w:rsidRDefault="00A62238" w:rsidP="00A62238">
      <w:pPr>
        <w:spacing w:after="0" w:line="480" w:lineRule="auto"/>
        <w:ind w:left="720" w:hanging="720"/>
        <w:rPr>
          <w:rStyle w:val="authors"/>
          <w:rFonts w:ascii="Times New Roman" w:eastAsia="Times New Roman" w:hAnsi="Times New Roman"/>
          <w:sz w:val="24"/>
          <w:szCs w:val="24"/>
        </w:rPr>
      </w:pPr>
      <w:r w:rsidRPr="009A231F">
        <w:rPr>
          <w:rFonts w:ascii="Times New Roman" w:eastAsia="Times New Roman" w:hAnsi="Times New Roman"/>
          <w:color w:val="000000"/>
          <w:sz w:val="24"/>
          <w:szCs w:val="24"/>
        </w:rPr>
        <w:t xml:space="preserve">Ling, T., &amp; </w:t>
      </w:r>
      <w:proofErr w:type="spellStart"/>
      <w:r w:rsidRPr="009A231F">
        <w:rPr>
          <w:rFonts w:ascii="Times New Roman" w:eastAsia="Times New Roman" w:hAnsi="Times New Roman"/>
          <w:color w:val="000000"/>
          <w:sz w:val="24"/>
          <w:szCs w:val="24"/>
        </w:rPr>
        <w:t>Nasri</w:t>
      </w:r>
      <w:proofErr w:type="spellEnd"/>
      <w:r w:rsidRPr="009A231F">
        <w:rPr>
          <w:rFonts w:ascii="Times New Roman" w:eastAsia="Times New Roman" w:hAnsi="Times New Roman"/>
          <w:color w:val="000000"/>
          <w:sz w:val="24"/>
          <w:szCs w:val="24"/>
        </w:rPr>
        <w:t xml:space="preserve">, N. M. (2019). </w:t>
      </w:r>
      <w:r w:rsidRPr="009A231F">
        <w:rPr>
          <w:rFonts w:ascii="Times New Roman" w:eastAsia="Times New Roman" w:hAnsi="Times New Roman"/>
          <w:i/>
          <w:iCs/>
          <w:color w:val="000000"/>
          <w:sz w:val="24"/>
          <w:szCs w:val="24"/>
        </w:rPr>
        <w:t xml:space="preserve">A Systematic Review: Issues on Equity in Education. Creative Education, 10, </w:t>
      </w:r>
      <w:r w:rsidRPr="009A231F">
        <w:rPr>
          <w:rFonts w:ascii="Times New Roman" w:eastAsia="Times New Roman" w:hAnsi="Times New Roman"/>
          <w:color w:val="000000"/>
          <w:sz w:val="24"/>
          <w:szCs w:val="24"/>
        </w:rPr>
        <w:t xml:space="preserve">3163-3174. </w:t>
      </w:r>
      <w:hyperlink r:id="rId13">
        <w:r w:rsidRPr="009A231F">
          <w:rPr>
            <w:rStyle w:val="authors"/>
            <w:rFonts w:ascii="Times New Roman" w:eastAsia="Times New Roman" w:hAnsi="Times New Roman"/>
            <w:sz w:val="24"/>
            <w:szCs w:val="24"/>
          </w:rPr>
          <w:t>https://doi.org/10.4236/ce.2019.1012240</w:t>
        </w:r>
      </w:hyperlink>
    </w:p>
    <w:p w14:paraId="3DAEF8AE" w14:textId="6A993229" w:rsidR="00A62238" w:rsidRPr="009A231F" w:rsidRDefault="00A62238" w:rsidP="00A62238">
      <w:pPr>
        <w:spacing w:after="0" w:line="480" w:lineRule="auto"/>
        <w:ind w:left="720" w:hanging="720"/>
        <w:rPr>
          <w:rFonts w:ascii="Times New Roman" w:eastAsia="Times New Roman" w:hAnsi="Times New Roman"/>
          <w:color w:val="000000"/>
          <w:sz w:val="24"/>
          <w:szCs w:val="24"/>
        </w:rPr>
      </w:pPr>
      <w:proofErr w:type="spellStart"/>
      <w:r w:rsidRPr="009A231F">
        <w:rPr>
          <w:rFonts w:ascii="Times New Roman" w:eastAsia="Times New Roman" w:hAnsi="Times New Roman"/>
          <w:color w:val="000000"/>
          <w:sz w:val="24"/>
          <w:szCs w:val="24"/>
        </w:rPr>
        <w:t>Monye</w:t>
      </w:r>
      <w:proofErr w:type="spellEnd"/>
      <w:r w:rsidRPr="009A231F">
        <w:rPr>
          <w:rFonts w:ascii="Times New Roman" w:eastAsia="Times New Roman" w:hAnsi="Times New Roman"/>
          <w:color w:val="000000"/>
          <w:sz w:val="24"/>
          <w:szCs w:val="24"/>
        </w:rPr>
        <w:t xml:space="preserve">, J. I. (2016). </w:t>
      </w:r>
      <w:r w:rsidRPr="009A231F">
        <w:rPr>
          <w:rFonts w:ascii="Times New Roman" w:hAnsi="Times New Roman"/>
          <w:i/>
          <w:iCs/>
          <w:color w:val="000000"/>
          <w:sz w:val="24"/>
          <w:szCs w:val="24"/>
          <w:shd w:val="clear" w:color="auto" w:fill="FFFFFF"/>
        </w:rPr>
        <w:t>Effects of Direct Instruction Common Core Math on Students with Learning Disabilities</w:t>
      </w:r>
      <w:r w:rsidRPr="009A231F">
        <w:rPr>
          <w:rFonts w:ascii="Times New Roman" w:eastAsia="Times New Roman" w:hAnsi="Times New Roman"/>
          <w:i/>
          <w:iCs/>
          <w:color w:val="000000"/>
          <w:sz w:val="24"/>
          <w:szCs w:val="24"/>
        </w:rPr>
        <w:t xml:space="preserve">. </w:t>
      </w:r>
      <w:r w:rsidRPr="009A231F">
        <w:rPr>
          <w:rFonts w:ascii="Times New Roman" w:hAnsi="Times New Roman"/>
          <w:i/>
          <w:iCs/>
          <w:color w:val="000000"/>
          <w:sz w:val="24"/>
          <w:szCs w:val="24"/>
          <w:bdr w:val="none" w:sz="0" w:space="0" w:color="auto" w:frame="1"/>
          <w:shd w:val="clear" w:color="auto" w:fill="FFFFFF"/>
        </w:rPr>
        <w:t>Walden Dissertations and Doctoral Studies</w:t>
      </w:r>
      <w:r w:rsidRPr="009A231F">
        <w:rPr>
          <w:rFonts w:ascii="Times New Roman" w:hAnsi="Times New Roman"/>
          <w:color w:val="000000"/>
          <w:sz w:val="24"/>
          <w:szCs w:val="24"/>
          <w:shd w:val="clear" w:color="auto" w:fill="FFFFFF"/>
        </w:rPr>
        <w:t xml:space="preserve">. 3184. </w:t>
      </w:r>
      <w:hyperlink r:id="rId14" w:history="1">
        <w:r w:rsidR="001078A5" w:rsidRPr="009A231F">
          <w:rPr>
            <w:rStyle w:val="authors"/>
            <w:rFonts w:ascii="Times New Roman" w:hAnsi="Times New Roman"/>
            <w:sz w:val="24"/>
            <w:szCs w:val="24"/>
            <w:shd w:val="clear" w:color="auto" w:fill="FFFFFF"/>
          </w:rPr>
          <w:t>https://scholarworks.waldenu.edu/dissertations/3184</w:t>
        </w:r>
      </w:hyperlink>
      <w:r w:rsidRPr="009A231F" w:rsidDel="00D356BB">
        <w:rPr>
          <w:rFonts w:ascii="Times New Roman" w:eastAsia="Times New Roman" w:hAnsi="Times New Roman"/>
          <w:color w:val="000000"/>
          <w:sz w:val="24"/>
          <w:szCs w:val="24"/>
        </w:rPr>
        <w:t xml:space="preserve"> </w:t>
      </w:r>
    </w:p>
    <w:p w14:paraId="75FDCE15" w14:textId="77F28CDD" w:rsidR="001078A5" w:rsidRPr="009A231F" w:rsidRDefault="001078A5" w:rsidP="00A62238">
      <w:pPr>
        <w:spacing w:after="0" w:line="480" w:lineRule="auto"/>
        <w:ind w:left="720" w:hanging="720"/>
        <w:rPr>
          <w:rFonts w:ascii="Times New Roman" w:hAnsi="Times New Roman"/>
          <w:sz w:val="24"/>
          <w:szCs w:val="24"/>
          <w:shd w:val="clear" w:color="auto" w:fill="FFFFFF"/>
        </w:rPr>
      </w:pPr>
      <w:r w:rsidRPr="009A231F">
        <w:rPr>
          <w:rFonts w:ascii="Times New Roman" w:hAnsi="Times New Roman"/>
          <w:sz w:val="24"/>
          <w:szCs w:val="24"/>
          <w:shd w:val="clear" w:color="auto" w:fill="FFFFFF"/>
        </w:rPr>
        <w:t>Persson, J. (2015). </w:t>
      </w:r>
      <w:r w:rsidRPr="009A231F">
        <w:rPr>
          <w:rFonts w:ascii="Times New Roman" w:hAnsi="Times New Roman"/>
          <w:i/>
          <w:iCs/>
          <w:sz w:val="24"/>
          <w:szCs w:val="24"/>
          <w:shd w:val="clear" w:color="auto" w:fill="FFFFFF"/>
        </w:rPr>
        <w:t>The math teaching gap: A study of the relationship between different levels of mathematics teacher effectiveness and student achievement </w:t>
      </w:r>
      <w:r w:rsidRPr="009A231F">
        <w:rPr>
          <w:rFonts w:ascii="Times New Roman" w:hAnsi="Times New Roman"/>
          <w:sz w:val="24"/>
          <w:szCs w:val="24"/>
          <w:shd w:val="clear" w:color="auto" w:fill="FFFFFF"/>
        </w:rPr>
        <w:t xml:space="preserve">(Order No. 3703898). Available from Education Database. (1685034888). </w:t>
      </w:r>
    </w:p>
    <w:p w14:paraId="7025DECC" w14:textId="02C7C5B3" w:rsidR="00814515" w:rsidRPr="009A231F" w:rsidRDefault="00814515" w:rsidP="00A62238">
      <w:pPr>
        <w:spacing w:after="0" w:line="480" w:lineRule="auto"/>
        <w:ind w:left="720" w:hanging="720"/>
        <w:rPr>
          <w:rFonts w:ascii="Times New Roman" w:eastAsia="Times New Roman" w:hAnsi="Times New Roman"/>
          <w:sz w:val="24"/>
          <w:szCs w:val="24"/>
        </w:rPr>
      </w:pPr>
      <w:r w:rsidRPr="009A231F">
        <w:rPr>
          <w:rFonts w:ascii="Times New Roman" w:hAnsi="Times New Roman"/>
          <w:sz w:val="24"/>
          <w:szCs w:val="24"/>
          <w:shd w:val="clear" w:color="auto" w:fill="FFFFFF"/>
        </w:rPr>
        <w:t xml:space="preserve">Riegle-Crumb, C., &amp; </w:t>
      </w:r>
      <w:proofErr w:type="spellStart"/>
      <w:r w:rsidRPr="009A231F">
        <w:rPr>
          <w:rFonts w:ascii="Times New Roman" w:hAnsi="Times New Roman"/>
          <w:sz w:val="24"/>
          <w:szCs w:val="24"/>
          <w:shd w:val="clear" w:color="auto" w:fill="FFFFFF"/>
        </w:rPr>
        <w:t>Grodsky</w:t>
      </w:r>
      <w:proofErr w:type="spellEnd"/>
      <w:r w:rsidRPr="009A231F">
        <w:rPr>
          <w:rFonts w:ascii="Times New Roman" w:hAnsi="Times New Roman"/>
          <w:sz w:val="24"/>
          <w:szCs w:val="24"/>
          <w:shd w:val="clear" w:color="auto" w:fill="FFFFFF"/>
        </w:rPr>
        <w:t>, E. (2010). Racial-ethnic differences at the intersection of math course-taking and achievement: A magazine of theory and practice.</w:t>
      </w:r>
      <w:r w:rsidRPr="009A231F">
        <w:rPr>
          <w:rFonts w:ascii="Times New Roman" w:hAnsi="Times New Roman"/>
          <w:i/>
          <w:iCs/>
          <w:sz w:val="24"/>
          <w:szCs w:val="24"/>
          <w:shd w:val="clear" w:color="auto" w:fill="FFFFFF"/>
        </w:rPr>
        <w:t> Sociology of Education, 83</w:t>
      </w:r>
      <w:r w:rsidRPr="009A231F">
        <w:rPr>
          <w:rFonts w:ascii="Times New Roman" w:hAnsi="Times New Roman"/>
          <w:sz w:val="24"/>
          <w:szCs w:val="24"/>
          <w:shd w:val="clear" w:color="auto" w:fill="FFFFFF"/>
        </w:rPr>
        <w:t xml:space="preserve">(3), 248-270. </w:t>
      </w:r>
    </w:p>
    <w:p w14:paraId="7C870EC0"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r w:rsidRPr="009A231F">
        <w:rPr>
          <w:rFonts w:ascii="Times New Roman" w:eastAsia="Times New Roman" w:hAnsi="Times New Roman"/>
          <w:color w:val="000000"/>
          <w:sz w:val="24"/>
          <w:szCs w:val="24"/>
        </w:rPr>
        <w:lastRenderedPageBreak/>
        <w:t xml:space="preserve">Robinson, G. C., &amp; Norton, P. C. (2019). A decade of disproportionality: A state-level analysis of African American students enrolled in the primary disability category of speech or language impairment. </w:t>
      </w:r>
      <w:r w:rsidRPr="009A231F">
        <w:rPr>
          <w:rFonts w:ascii="Times New Roman" w:eastAsia="Times New Roman" w:hAnsi="Times New Roman"/>
          <w:i/>
          <w:iCs/>
          <w:color w:val="000000"/>
          <w:sz w:val="24"/>
          <w:szCs w:val="24"/>
        </w:rPr>
        <w:t>Language, Speech, &amp; Hearing Services in Schools</w:t>
      </w:r>
      <w:r w:rsidRPr="009A231F">
        <w:rPr>
          <w:rFonts w:ascii="Times New Roman" w:eastAsia="Times New Roman" w:hAnsi="Times New Roman"/>
          <w:color w:val="000000"/>
          <w:sz w:val="24"/>
          <w:szCs w:val="24"/>
        </w:rPr>
        <w:t xml:space="preserve">, </w:t>
      </w:r>
      <w:r w:rsidRPr="009A231F">
        <w:rPr>
          <w:rFonts w:ascii="Times New Roman" w:eastAsia="Times New Roman" w:hAnsi="Times New Roman"/>
          <w:i/>
          <w:iCs/>
          <w:color w:val="000000"/>
          <w:sz w:val="24"/>
          <w:szCs w:val="24"/>
        </w:rPr>
        <w:t>50</w:t>
      </w:r>
      <w:r w:rsidRPr="009A231F">
        <w:rPr>
          <w:rFonts w:ascii="Times New Roman" w:eastAsia="Times New Roman" w:hAnsi="Times New Roman"/>
          <w:color w:val="000000"/>
          <w:sz w:val="24"/>
          <w:szCs w:val="24"/>
        </w:rPr>
        <w:t xml:space="preserve">(2), </w:t>
      </w:r>
      <w:r w:rsidRPr="009A231F">
        <w:rPr>
          <w:rFonts w:ascii="Times New Roman" w:hAnsi="Times New Roman"/>
          <w:sz w:val="24"/>
          <w:szCs w:val="24"/>
        </w:rPr>
        <w:t>267-282.</w:t>
      </w:r>
      <w:r w:rsidRPr="009A231F">
        <w:rPr>
          <w:rFonts w:ascii="Times New Roman" w:eastAsia="Times New Roman" w:hAnsi="Times New Roman"/>
          <w:color w:val="000000"/>
          <w:sz w:val="24"/>
          <w:szCs w:val="24"/>
        </w:rPr>
        <w:t xml:space="preserve"> </w:t>
      </w:r>
    </w:p>
    <w:p w14:paraId="644DD4AF" w14:textId="77777777" w:rsidR="00A62238" w:rsidRPr="009A231F" w:rsidRDefault="00A62238" w:rsidP="00A62238">
      <w:pPr>
        <w:spacing w:after="0" w:line="480" w:lineRule="auto"/>
        <w:ind w:left="720" w:hanging="720"/>
        <w:rPr>
          <w:rFonts w:ascii="Times New Roman" w:eastAsia="Times New Roman" w:hAnsi="Times New Roman"/>
          <w:color w:val="555555"/>
          <w:sz w:val="24"/>
          <w:szCs w:val="24"/>
        </w:rPr>
      </w:pPr>
      <w:r w:rsidRPr="009A231F">
        <w:rPr>
          <w:rFonts w:ascii="Times New Roman" w:eastAsia="Times New Roman" w:hAnsi="Times New Roman"/>
          <w:color w:val="000000"/>
          <w:sz w:val="24"/>
          <w:szCs w:val="24"/>
        </w:rPr>
        <w:t xml:space="preserve">Skiba, R. J., Simmons, A. B., Ritter, S., Gibb, A. C., Rausch, M. K., </w:t>
      </w:r>
      <w:proofErr w:type="spellStart"/>
      <w:r w:rsidRPr="009A231F">
        <w:rPr>
          <w:rFonts w:ascii="Times New Roman" w:eastAsia="Times New Roman" w:hAnsi="Times New Roman"/>
          <w:color w:val="000000"/>
          <w:sz w:val="24"/>
          <w:szCs w:val="24"/>
        </w:rPr>
        <w:t>Cuadrado</w:t>
      </w:r>
      <w:proofErr w:type="spellEnd"/>
      <w:r w:rsidRPr="009A231F">
        <w:rPr>
          <w:rFonts w:ascii="Times New Roman" w:eastAsia="Times New Roman" w:hAnsi="Times New Roman"/>
          <w:color w:val="000000"/>
          <w:sz w:val="24"/>
          <w:szCs w:val="24"/>
        </w:rPr>
        <w:t>, J., &amp; Chung, C.               (2008). Achieving equity in special education: History, status, and current challenges.</w:t>
      </w:r>
      <w:r w:rsidRPr="009A231F">
        <w:rPr>
          <w:rFonts w:ascii="Times New Roman" w:eastAsia="Times New Roman" w:hAnsi="Times New Roman"/>
          <w:i/>
          <w:iCs/>
          <w:color w:val="000000"/>
          <w:sz w:val="24"/>
          <w:szCs w:val="24"/>
        </w:rPr>
        <w:t> Exceptional Children, 74</w:t>
      </w:r>
      <w:r w:rsidRPr="009A231F">
        <w:rPr>
          <w:rFonts w:ascii="Times New Roman" w:eastAsia="Times New Roman" w:hAnsi="Times New Roman"/>
          <w:color w:val="000000"/>
          <w:sz w:val="24"/>
          <w:szCs w:val="24"/>
        </w:rPr>
        <w:t xml:space="preserve">(3), 264-288. </w:t>
      </w:r>
    </w:p>
    <w:p w14:paraId="18E51E02"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r w:rsidRPr="009A231F">
        <w:rPr>
          <w:rStyle w:val="CommentSubjectChar"/>
          <w:rFonts w:ascii="Times New Roman" w:hAnsi="Times New Roman"/>
          <w:b w:val="0"/>
          <w:bCs w:val="0"/>
          <w:color w:val="000000"/>
          <w:sz w:val="24"/>
          <w:szCs w:val="24"/>
        </w:rPr>
        <w:t>Usher, E. L. (2018) Acknowledging the Whiteness of motivation research: Seeking cultural relevance, </w:t>
      </w:r>
      <w:r w:rsidRPr="009A231F">
        <w:rPr>
          <w:rStyle w:val="CommentSubjectChar"/>
          <w:rFonts w:ascii="Times New Roman" w:hAnsi="Times New Roman"/>
          <w:b w:val="0"/>
          <w:bCs w:val="0"/>
          <w:i/>
          <w:iCs/>
          <w:sz w:val="24"/>
          <w:szCs w:val="24"/>
        </w:rPr>
        <w:t>Educational Psychologist, 53</w:t>
      </w:r>
      <w:r w:rsidRPr="009A231F">
        <w:rPr>
          <w:rStyle w:val="CommentSubjectChar"/>
          <w:rFonts w:ascii="Times New Roman" w:hAnsi="Times New Roman"/>
          <w:b w:val="0"/>
          <w:bCs w:val="0"/>
          <w:color w:val="000000"/>
          <w:sz w:val="24"/>
          <w:szCs w:val="24"/>
        </w:rPr>
        <w:t>(2), 131-144, </w:t>
      </w:r>
      <w:proofErr w:type="spellStart"/>
      <w:r w:rsidRPr="009A231F">
        <w:rPr>
          <w:rStyle w:val="CommentSubjectChar"/>
          <w:rFonts w:ascii="Times New Roman" w:hAnsi="Times New Roman"/>
          <w:b w:val="0"/>
          <w:bCs w:val="0"/>
          <w:color w:val="000000"/>
          <w:sz w:val="24"/>
          <w:szCs w:val="24"/>
        </w:rPr>
        <w:t>doi</w:t>
      </w:r>
      <w:proofErr w:type="spellEnd"/>
      <w:r w:rsidRPr="009A231F">
        <w:rPr>
          <w:rStyle w:val="CommentSubjectChar"/>
          <w:rFonts w:ascii="Times New Roman" w:hAnsi="Times New Roman"/>
          <w:b w:val="0"/>
          <w:bCs w:val="0"/>
          <w:color w:val="000000"/>
          <w:sz w:val="24"/>
          <w:szCs w:val="24"/>
        </w:rPr>
        <w:t>: </w:t>
      </w:r>
      <w:hyperlink r:id="rId15">
        <w:r w:rsidRPr="009A231F">
          <w:rPr>
            <w:rStyle w:val="authors"/>
            <w:rFonts w:ascii="Times New Roman" w:eastAsia="Times New Roman" w:hAnsi="Times New Roman"/>
            <w:sz w:val="24"/>
            <w:szCs w:val="24"/>
          </w:rPr>
          <w:t>10.1080/00461520.2018.1442220</w:t>
        </w:r>
      </w:hyperlink>
    </w:p>
    <w:p w14:paraId="28BD03CD" w14:textId="77777777" w:rsidR="00A62238" w:rsidRPr="009A231F" w:rsidRDefault="00A62238" w:rsidP="00A62238">
      <w:pPr>
        <w:spacing w:after="0" w:line="480" w:lineRule="auto"/>
        <w:ind w:left="720" w:hanging="720"/>
        <w:rPr>
          <w:rFonts w:ascii="Times New Roman" w:eastAsia="Times New Roman" w:hAnsi="Times New Roman"/>
          <w:color w:val="000000"/>
          <w:sz w:val="24"/>
          <w:szCs w:val="24"/>
        </w:rPr>
      </w:pPr>
      <w:proofErr w:type="spellStart"/>
      <w:r w:rsidRPr="009A231F">
        <w:rPr>
          <w:rFonts w:ascii="Times New Roman" w:eastAsia="Times New Roman" w:hAnsi="Times New Roman"/>
          <w:color w:val="000000"/>
          <w:sz w:val="24"/>
          <w:szCs w:val="24"/>
        </w:rPr>
        <w:t>Vomvoridi</w:t>
      </w:r>
      <w:proofErr w:type="spellEnd"/>
      <w:r w:rsidRPr="009A231F">
        <w:rPr>
          <w:rFonts w:ascii="Times New Roman" w:eastAsia="Times New Roman" w:hAnsi="Times New Roman"/>
          <w:color w:val="000000"/>
          <w:sz w:val="24"/>
          <w:szCs w:val="24"/>
        </w:rPr>
        <w:t xml:space="preserve">-Ivanovic, E., &amp; </w:t>
      </w:r>
      <w:proofErr w:type="spellStart"/>
      <w:r w:rsidRPr="009A231F">
        <w:rPr>
          <w:rFonts w:ascii="Times New Roman" w:eastAsia="Times New Roman" w:hAnsi="Times New Roman"/>
          <w:color w:val="000000"/>
          <w:sz w:val="24"/>
          <w:szCs w:val="24"/>
        </w:rPr>
        <w:t>McLeman</w:t>
      </w:r>
      <w:proofErr w:type="spellEnd"/>
      <w:r w:rsidRPr="009A231F">
        <w:rPr>
          <w:rFonts w:ascii="Times New Roman" w:eastAsia="Times New Roman" w:hAnsi="Times New Roman"/>
          <w:color w:val="000000"/>
          <w:sz w:val="24"/>
          <w:szCs w:val="24"/>
        </w:rPr>
        <w:t>, L. (2015). Mathematics teacher educators focusing on equity: Potential challenges and resolutions.</w:t>
      </w:r>
      <w:r w:rsidRPr="009A231F">
        <w:rPr>
          <w:rFonts w:ascii="Times New Roman" w:eastAsia="Times New Roman" w:hAnsi="Times New Roman"/>
          <w:i/>
          <w:iCs/>
          <w:color w:val="000000"/>
          <w:sz w:val="24"/>
          <w:szCs w:val="24"/>
        </w:rPr>
        <w:t xml:space="preserve"> Teacher Education Quarterly, 42</w:t>
      </w:r>
      <w:r w:rsidRPr="009A231F">
        <w:rPr>
          <w:rFonts w:ascii="Times New Roman" w:eastAsia="Times New Roman" w:hAnsi="Times New Roman"/>
          <w:color w:val="000000"/>
          <w:sz w:val="24"/>
          <w:szCs w:val="24"/>
        </w:rPr>
        <w:t xml:space="preserve">(4), 83-100. </w:t>
      </w:r>
    </w:p>
    <w:p w14:paraId="0AE6AD0F" w14:textId="77777777" w:rsidR="00740992" w:rsidRPr="00A21ECD" w:rsidRDefault="00740992" w:rsidP="00740992">
      <w:pPr>
        <w:spacing w:line="240" w:lineRule="auto"/>
        <w:rPr>
          <w:rFonts w:ascii="Times New Roman" w:eastAsia="Times New Roman" w:hAnsi="Times New Roman"/>
          <w:color w:val="000000"/>
          <w:sz w:val="24"/>
          <w:szCs w:val="24"/>
        </w:rPr>
      </w:pPr>
    </w:p>
    <w:p w14:paraId="4E89D9F0" w14:textId="77777777" w:rsidR="00740992" w:rsidRPr="00A21ECD" w:rsidRDefault="00740992" w:rsidP="00740992">
      <w:pPr>
        <w:spacing w:line="480" w:lineRule="auto"/>
        <w:ind w:firstLine="720"/>
        <w:rPr>
          <w:rFonts w:ascii="Times New Roman" w:eastAsia="Times New Roman" w:hAnsi="Times New Roman"/>
          <w:color w:val="000000"/>
          <w:sz w:val="24"/>
          <w:szCs w:val="24"/>
        </w:rPr>
      </w:pPr>
    </w:p>
    <w:p w14:paraId="197A9C97" w14:textId="77777777" w:rsidR="00740992" w:rsidRPr="00A21ECD" w:rsidRDefault="00740992" w:rsidP="00740992">
      <w:pPr>
        <w:spacing w:line="480" w:lineRule="auto"/>
        <w:ind w:firstLine="720"/>
        <w:rPr>
          <w:rFonts w:ascii="Times New Roman" w:eastAsia="Times New Roman" w:hAnsi="Times New Roman"/>
          <w:color w:val="000000"/>
          <w:sz w:val="24"/>
          <w:szCs w:val="24"/>
        </w:rPr>
      </w:pPr>
    </w:p>
    <w:p w14:paraId="320D4CA0" w14:textId="77777777" w:rsidR="00F32554" w:rsidRDefault="00F32554"/>
    <w:sectPr w:rsidR="00F32554" w:rsidSect="00A21EC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D8E17" w14:textId="77777777" w:rsidR="00F809C8" w:rsidRDefault="00F809C8" w:rsidP="007C5F55">
      <w:pPr>
        <w:spacing w:after="0" w:line="240" w:lineRule="auto"/>
      </w:pPr>
      <w:r>
        <w:separator/>
      </w:r>
    </w:p>
  </w:endnote>
  <w:endnote w:type="continuationSeparator" w:id="0">
    <w:p w14:paraId="7CFCCF73" w14:textId="77777777" w:rsidR="00F809C8" w:rsidRDefault="00F809C8" w:rsidP="007C5F55">
      <w:pPr>
        <w:spacing w:after="0" w:line="240" w:lineRule="auto"/>
      </w:pPr>
      <w:r>
        <w:continuationSeparator/>
      </w:r>
    </w:p>
  </w:endnote>
  <w:endnote w:type="continuationNotice" w:id="1">
    <w:p w14:paraId="2AAEA005" w14:textId="77777777" w:rsidR="00F809C8" w:rsidRDefault="00F809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FB7F27" w:rsidRPr="00A21ECD" w14:paraId="677AF959" w14:textId="77777777" w:rsidTr="7D90B963">
      <w:tc>
        <w:tcPr>
          <w:tcW w:w="3120" w:type="dxa"/>
        </w:tcPr>
        <w:p w14:paraId="039A8E02" w14:textId="77777777" w:rsidR="00FB7F27" w:rsidRPr="00A21ECD" w:rsidRDefault="00F809C8" w:rsidP="00481FAB">
          <w:pPr>
            <w:ind w:left="-115"/>
          </w:pPr>
        </w:p>
      </w:tc>
      <w:tc>
        <w:tcPr>
          <w:tcW w:w="3120" w:type="dxa"/>
        </w:tcPr>
        <w:p w14:paraId="5B46875D" w14:textId="77777777" w:rsidR="00FB7F27" w:rsidRPr="00A21ECD" w:rsidRDefault="00F809C8" w:rsidP="00481FAB">
          <w:pPr>
            <w:jc w:val="center"/>
          </w:pPr>
        </w:p>
      </w:tc>
      <w:tc>
        <w:tcPr>
          <w:tcW w:w="3120" w:type="dxa"/>
        </w:tcPr>
        <w:p w14:paraId="3BC3F42B" w14:textId="77777777" w:rsidR="00FB7F27" w:rsidRPr="00A21ECD" w:rsidRDefault="00F809C8" w:rsidP="00481FAB">
          <w:pPr>
            <w:ind w:right="-115"/>
            <w:jc w:val="right"/>
          </w:pPr>
        </w:p>
      </w:tc>
    </w:tr>
  </w:tbl>
  <w:p w14:paraId="73BCC277" w14:textId="77777777" w:rsidR="00FB7F27" w:rsidRDefault="00F809C8" w:rsidP="00481FA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9C3F2" w14:textId="77777777" w:rsidR="00F809C8" w:rsidRDefault="00F809C8" w:rsidP="007C5F55">
      <w:pPr>
        <w:spacing w:after="0" w:line="240" w:lineRule="auto"/>
      </w:pPr>
      <w:r>
        <w:separator/>
      </w:r>
    </w:p>
  </w:footnote>
  <w:footnote w:type="continuationSeparator" w:id="0">
    <w:p w14:paraId="0F0807E7" w14:textId="77777777" w:rsidR="00F809C8" w:rsidRDefault="00F809C8" w:rsidP="007C5F55">
      <w:pPr>
        <w:spacing w:after="0" w:line="240" w:lineRule="auto"/>
      </w:pPr>
      <w:r>
        <w:continuationSeparator/>
      </w:r>
    </w:p>
  </w:footnote>
  <w:footnote w:type="continuationNotice" w:id="1">
    <w:p w14:paraId="757A3879" w14:textId="77777777" w:rsidR="00F809C8" w:rsidRDefault="00F809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B8FA3" w14:textId="77777777" w:rsidR="00FB7F27" w:rsidRDefault="003E5A29">
    <w:pPr>
      <w:jc w:val="right"/>
    </w:pPr>
    <w:r>
      <w:fldChar w:fldCharType="begin"/>
    </w:r>
    <w:r>
      <w:instrText xml:space="preserve"> PAGE   \* MERGEFORMAT </w:instrText>
    </w:r>
    <w:r>
      <w:fldChar w:fldCharType="separate"/>
    </w:r>
    <w:r>
      <w:rPr>
        <w:noProof/>
      </w:rPr>
      <w:t>2</w:t>
    </w:r>
    <w:r>
      <w:rPr>
        <w:noProof/>
      </w:rPr>
      <w:fldChar w:fldCharType="end"/>
    </w:r>
  </w:p>
  <w:p w14:paraId="574231BC" w14:textId="77777777" w:rsidR="00FB7F27" w:rsidRDefault="00F809C8" w:rsidP="00481FA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992"/>
    <w:rsid w:val="00043A60"/>
    <w:rsid w:val="00045569"/>
    <w:rsid w:val="000C516A"/>
    <w:rsid w:val="001078A5"/>
    <w:rsid w:val="0015799A"/>
    <w:rsid w:val="002D4C9C"/>
    <w:rsid w:val="00317244"/>
    <w:rsid w:val="00323856"/>
    <w:rsid w:val="00356115"/>
    <w:rsid w:val="00387B1A"/>
    <w:rsid w:val="003E4424"/>
    <w:rsid w:val="003E5A29"/>
    <w:rsid w:val="004162A2"/>
    <w:rsid w:val="00481FAB"/>
    <w:rsid w:val="004A337B"/>
    <w:rsid w:val="004C1B85"/>
    <w:rsid w:val="004C2773"/>
    <w:rsid w:val="004E726A"/>
    <w:rsid w:val="00574688"/>
    <w:rsid w:val="0062635D"/>
    <w:rsid w:val="00645682"/>
    <w:rsid w:val="006A365C"/>
    <w:rsid w:val="00740992"/>
    <w:rsid w:val="0076634D"/>
    <w:rsid w:val="007C5F55"/>
    <w:rsid w:val="00814515"/>
    <w:rsid w:val="00893ADD"/>
    <w:rsid w:val="00972A55"/>
    <w:rsid w:val="00976D40"/>
    <w:rsid w:val="009A231F"/>
    <w:rsid w:val="00A45E8A"/>
    <w:rsid w:val="00A62238"/>
    <w:rsid w:val="00A81016"/>
    <w:rsid w:val="00AB1089"/>
    <w:rsid w:val="00AB56D8"/>
    <w:rsid w:val="00C06512"/>
    <w:rsid w:val="00C7251C"/>
    <w:rsid w:val="00CC299A"/>
    <w:rsid w:val="00E062E9"/>
    <w:rsid w:val="00E83C0E"/>
    <w:rsid w:val="00E85C64"/>
    <w:rsid w:val="00E87485"/>
    <w:rsid w:val="00EA6CAF"/>
    <w:rsid w:val="00F32554"/>
    <w:rsid w:val="00F809C8"/>
    <w:rsid w:val="00FE1C02"/>
    <w:rsid w:val="7BDEB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439EF"/>
  <w15:chartTrackingRefBased/>
  <w15:docId w15:val="{F6DC4FF3-8A03-4222-A6CF-1BD64F08A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099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rsid w:val="00740992"/>
  </w:style>
  <w:style w:type="paragraph" w:styleId="Header">
    <w:name w:val="header"/>
    <w:basedOn w:val="Normal"/>
    <w:link w:val="HeaderChar"/>
    <w:uiPriority w:val="99"/>
    <w:unhideWhenUsed/>
    <w:rsid w:val="00740992"/>
    <w:pPr>
      <w:tabs>
        <w:tab w:val="center" w:pos="4680"/>
        <w:tab w:val="right" w:pos="9360"/>
      </w:tabs>
      <w:spacing w:after="0" w:line="240" w:lineRule="auto"/>
    </w:pPr>
    <w:rPr>
      <w:rFonts w:asciiTheme="minorHAnsi" w:eastAsiaTheme="minorHAnsi" w:hAnsiTheme="minorHAnsi" w:cstheme="minorBidi"/>
    </w:rPr>
  </w:style>
  <w:style w:type="character" w:customStyle="1" w:styleId="HeaderChar1">
    <w:name w:val="Header Char1"/>
    <w:basedOn w:val="DefaultParagraphFont"/>
    <w:uiPriority w:val="99"/>
    <w:semiHidden/>
    <w:rsid w:val="00740992"/>
    <w:rPr>
      <w:rFonts w:ascii="Calibri" w:eastAsia="Calibri" w:hAnsi="Calibri" w:cs="Times New Roman"/>
    </w:rPr>
  </w:style>
  <w:style w:type="character" w:customStyle="1" w:styleId="FooterChar">
    <w:name w:val="Footer Char"/>
    <w:basedOn w:val="DefaultParagraphFont"/>
    <w:link w:val="Footer"/>
    <w:rsid w:val="00740992"/>
  </w:style>
  <w:style w:type="paragraph" w:styleId="Footer">
    <w:name w:val="footer"/>
    <w:basedOn w:val="Normal"/>
    <w:link w:val="FooterChar"/>
    <w:unhideWhenUsed/>
    <w:rsid w:val="00740992"/>
    <w:pPr>
      <w:tabs>
        <w:tab w:val="center" w:pos="4680"/>
        <w:tab w:val="right" w:pos="9360"/>
      </w:tabs>
      <w:spacing w:after="0" w:line="240" w:lineRule="auto"/>
    </w:pPr>
    <w:rPr>
      <w:rFonts w:asciiTheme="minorHAnsi" w:eastAsiaTheme="minorHAnsi" w:hAnsiTheme="minorHAnsi" w:cstheme="minorBidi"/>
    </w:rPr>
  </w:style>
  <w:style w:type="character" w:customStyle="1" w:styleId="FooterChar1">
    <w:name w:val="Footer Char1"/>
    <w:basedOn w:val="DefaultParagraphFont"/>
    <w:uiPriority w:val="99"/>
    <w:semiHidden/>
    <w:rsid w:val="00740992"/>
    <w:rPr>
      <w:rFonts w:ascii="Calibri" w:eastAsia="Calibri" w:hAnsi="Calibri" w:cs="Times New Roman"/>
    </w:rPr>
  </w:style>
  <w:style w:type="character" w:customStyle="1" w:styleId="CommentTextChar">
    <w:name w:val="Comment Text Char"/>
    <w:basedOn w:val="DefaultParagraphFont"/>
    <w:link w:val="CommentText"/>
    <w:uiPriority w:val="99"/>
    <w:rsid w:val="00740992"/>
    <w:rPr>
      <w:rFonts w:ascii="Times New Roman" w:eastAsia="Times New Roman" w:hAnsi="Times New Roman" w:cs="Times New Roman"/>
      <w:sz w:val="20"/>
      <w:szCs w:val="20"/>
    </w:rPr>
  </w:style>
  <w:style w:type="paragraph" w:styleId="CommentText">
    <w:name w:val="annotation text"/>
    <w:basedOn w:val="Normal"/>
    <w:link w:val="CommentTextChar"/>
    <w:uiPriority w:val="99"/>
    <w:unhideWhenUsed/>
    <w:rsid w:val="00740992"/>
    <w:pPr>
      <w:spacing w:after="0" w:line="240" w:lineRule="auto"/>
    </w:pPr>
    <w:rPr>
      <w:rFonts w:ascii="Times New Roman" w:eastAsia="Times New Roman" w:hAnsi="Times New Roman"/>
      <w:sz w:val="20"/>
      <w:szCs w:val="20"/>
    </w:rPr>
  </w:style>
  <w:style w:type="character" w:customStyle="1" w:styleId="CommentSubjectChar">
    <w:name w:val="Comment Subject Char"/>
    <w:basedOn w:val="CommentTextChar"/>
    <w:link w:val="CommentSubject"/>
    <w:uiPriority w:val="99"/>
    <w:semiHidden/>
    <w:rsid w:val="00740992"/>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semiHidden/>
    <w:unhideWhenUsed/>
    <w:rsid w:val="00740992"/>
    <w:pPr>
      <w:spacing w:after="160"/>
    </w:pPr>
    <w:rPr>
      <w:rFonts w:ascii="Calibri" w:eastAsia="Calibri" w:hAnsi="Calibri"/>
      <w:b/>
      <w:bCs/>
    </w:rPr>
  </w:style>
  <w:style w:type="character" w:styleId="UnresolvedMention">
    <w:name w:val="Unresolved Mention"/>
    <w:basedOn w:val="DefaultParagraphFont"/>
    <w:uiPriority w:val="99"/>
    <w:semiHidden/>
    <w:unhideWhenUsed/>
    <w:rsid w:val="001078A5"/>
    <w:rPr>
      <w:color w:val="605E5C"/>
      <w:shd w:val="clear" w:color="auto" w:fill="E1DFDD"/>
    </w:rPr>
  </w:style>
  <w:style w:type="character" w:styleId="CommentReference">
    <w:name w:val="annotation reference"/>
    <w:uiPriority w:val="99"/>
    <w:semiHidden/>
    <w:unhideWhenUsed/>
    <w:rsid w:val="00740992"/>
    <w:rPr>
      <w:sz w:val="16"/>
      <w:szCs w:val="16"/>
    </w:rPr>
  </w:style>
  <w:style w:type="character" w:customStyle="1" w:styleId="normaltextrun">
    <w:name w:val="normaltextrun"/>
    <w:basedOn w:val="DefaultParagraphFont"/>
    <w:rsid w:val="00740992"/>
  </w:style>
  <w:style w:type="character" w:customStyle="1" w:styleId="eop">
    <w:name w:val="eop"/>
    <w:basedOn w:val="DefaultParagraphFont"/>
    <w:rsid w:val="00740992"/>
  </w:style>
  <w:style w:type="paragraph" w:customStyle="1" w:styleId="paragraph">
    <w:name w:val="paragraph"/>
    <w:basedOn w:val="Normal"/>
    <w:rsid w:val="00740992"/>
    <w:pPr>
      <w:spacing w:before="100" w:beforeAutospacing="1" w:after="100" w:afterAutospacing="1" w:line="240" w:lineRule="auto"/>
    </w:pPr>
    <w:rPr>
      <w:rFonts w:ascii="Times New Roman" w:eastAsia="Times New Roman" w:hAnsi="Times New Roman"/>
      <w:sz w:val="24"/>
      <w:szCs w:val="24"/>
    </w:rPr>
  </w:style>
  <w:style w:type="character" w:customStyle="1" w:styleId="authors">
    <w:name w:val="authors"/>
    <w:basedOn w:val="DefaultParagraphFont"/>
    <w:rsid w:val="00740992"/>
  </w:style>
  <w:style w:type="character" w:styleId="Hyperlink">
    <w:name w:val="Hyperlink"/>
    <w:uiPriority w:val="99"/>
    <w:unhideWhenUsed/>
    <w:rsid w:val="00740992"/>
    <w:rPr>
      <w:color w:val="0563C1"/>
      <w:u w:val="single"/>
    </w:rPr>
  </w:style>
  <w:style w:type="character" w:styleId="Emphasis">
    <w:name w:val="Emphasis"/>
    <w:uiPriority w:val="20"/>
    <w:qFormat/>
    <w:rsid w:val="007409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4236/ce.2019.1012240" TargetMode="Externa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doi.org/10.1080/00461520.2018.143236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s://doi.org/10.1080/00461520.2018.1442220" TargetMode="Externa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scholarworks.waldenu.edu/dissertations/31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5424280283F5147957E84D61E9C51B7" ma:contentTypeVersion="13" ma:contentTypeDescription="Create a new document." ma:contentTypeScope="" ma:versionID="0f2fdf9bbdafe6a7c726565467335432">
  <xsd:schema xmlns:xsd="http://www.w3.org/2001/XMLSchema" xmlns:xs="http://www.w3.org/2001/XMLSchema" xmlns:p="http://schemas.microsoft.com/office/2006/metadata/properties" xmlns:ns3="0f53c71c-bab1-4e78-9d0b-8b9edf367305" xmlns:ns4="b3badb55-1102-4507-bad3-00249e0085a7" targetNamespace="http://schemas.microsoft.com/office/2006/metadata/properties" ma:root="true" ma:fieldsID="2ceb8b954245819972989840a21c7e13" ns3:_="" ns4:_="">
    <xsd:import namespace="0f53c71c-bab1-4e78-9d0b-8b9edf367305"/>
    <xsd:import namespace="b3badb55-1102-4507-bad3-00249e0085a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3c71c-bab1-4e78-9d0b-8b9edf3673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adb55-1102-4507-bad3-00249e0085a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C95452-1FB4-42BE-8355-BCB442B6A6D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21968D5-41E1-4247-BF21-FB8C56F9D35B}">
  <ds:schemaRefs>
    <ds:schemaRef ds:uri="http://schemas.microsoft.com/sharepoint/v3/contenttype/forms"/>
  </ds:schemaRefs>
</ds:datastoreItem>
</file>

<file path=customXml/itemProps3.xml><?xml version="1.0" encoding="utf-8"?>
<ds:datastoreItem xmlns:ds="http://schemas.openxmlformats.org/officeDocument/2006/customXml" ds:itemID="{F07A8B88-CD9F-4D09-9630-F31CD8539A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3c71c-bab1-4e78-9d0b-8b9edf367305"/>
    <ds:schemaRef ds:uri="b3badb55-1102-4507-bad3-00249e0085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5764</Words>
  <Characters>32855</Characters>
  <Application>Microsoft Office Word</Application>
  <DocSecurity>0</DocSecurity>
  <Lines>273</Lines>
  <Paragraphs>77</Paragraphs>
  <ScaleCrop>false</ScaleCrop>
  <Company/>
  <LinksUpToDate>false</LinksUpToDate>
  <CharactersWithSpaces>38542</CharactersWithSpaces>
  <SharedDoc>false</SharedDoc>
  <HLinks>
    <vt:vector size="30" baseType="variant">
      <vt:variant>
        <vt:i4>65612</vt:i4>
      </vt:variant>
      <vt:variant>
        <vt:i4>12</vt:i4>
      </vt:variant>
      <vt:variant>
        <vt:i4>0</vt:i4>
      </vt:variant>
      <vt:variant>
        <vt:i4>5</vt:i4>
      </vt:variant>
      <vt:variant>
        <vt:lpwstr>https://doi.org/10.1080/00461520.2018.1442220</vt:lpwstr>
      </vt:variant>
      <vt:variant>
        <vt:lpwstr/>
      </vt:variant>
      <vt:variant>
        <vt:i4>2752551</vt:i4>
      </vt:variant>
      <vt:variant>
        <vt:i4>9</vt:i4>
      </vt:variant>
      <vt:variant>
        <vt:i4>0</vt:i4>
      </vt:variant>
      <vt:variant>
        <vt:i4>5</vt:i4>
      </vt:variant>
      <vt:variant>
        <vt:lpwstr>https://goucher.idm.oclc.org/login?url=https://www-proquest-com.goucher.idm.oclc.org/dissertations-theses/math-teaching-gap-study-relationship-between/docview/1685034888/se-2?accountid=11164</vt:lpwstr>
      </vt:variant>
      <vt:variant>
        <vt:lpwstr/>
      </vt:variant>
      <vt:variant>
        <vt:i4>7602289</vt:i4>
      </vt:variant>
      <vt:variant>
        <vt:i4>6</vt:i4>
      </vt:variant>
      <vt:variant>
        <vt:i4>0</vt:i4>
      </vt:variant>
      <vt:variant>
        <vt:i4>5</vt:i4>
      </vt:variant>
      <vt:variant>
        <vt:lpwstr>https://scholarworks.waldenu.edu/dissertations/3184</vt:lpwstr>
      </vt:variant>
      <vt:variant>
        <vt:lpwstr/>
      </vt:variant>
      <vt:variant>
        <vt:i4>7012392</vt:i4>
      </vt:variant>
      <vt:variant>
        <vt:i4>3</vt:i4>
      </vt:variant>
      <vt:variant>
        <vt:i4>0</vt:i4>
      </vt:variant>
      <vt:variant>
        <vt:i4>5</vt:i4>
      </vt:variant>
      <vt:variant>
        <vt:lpwstr>https://doi.org/10.4236/ce.2019.1012240</vt:lpwstr>
      </vt:variant>
      <vt:variant>
        <vt:lpwstr/>
      </vt:variant>
      <vt:variant>
        <vt:i4>327754</vt:i4>
      </vt:variant>
      <vt:variant>
        <vt:i4>0</vt:i4>
      </vt:variant>
      <vt:variant>
        <vt:i4>0</vt:i4>
      </vt:variant>
      <vt:variant>
        <vt:i4>5</vt:i4>
      </vt:variant>
      <vt:variant>
        <vt:lpwstr>https://doi.org/10.1080/00461520.2018.1432361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Kaniuka, Elizabeth</dc:creator>
  <cp:keywords/>
  <dc:description/>
  <cp:lastModifiedBy>Kaniuka, Elizabeth</cp:lastModifiedBy>
  <cp:revision>2</cp:revision>
  <dcterms:created xsi:type="dcterms:W3CDTF">2021-04-30T11:30:00Z</dcterms:created>
  <dcterms:modified xsi:type="dcterms:W3CDTF">2021-04-30T11:30:00Z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0x01010075424280283F5147957E84D61E9C51B7</vt:lpwstr>
  </property>
</Properties>
</file>