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68757E" w:rsidRDefault="0068757E" w:rsidP="0068757E">
      <w:pPr>
        <w:jc w:val="center"/>
      </w:pPr>
      <w:r>
        <w:t>“</w:t>
      </w:r>
      <w:r>
        <w:t>The Lordstown Tigers: The ‘Blue Collar Blues” Autoworkers Strikes</w:t>
      </w:r>
      <w:r>
        <w:t>,</w:t>
      </w:r>
      <w:r>
        <w:t xml:space="preserve"> 1970s</w:t>
      </w:r>
      <w:r>
        <w:t xml:space="preserve">” </w:t>
      </w:r>
    </w:p>
    <w:p w:rsidR="0068757E" w:rsidRDefault="0068757E" w:rsidP="0068757E">
      <w:pPr>
        <w:jc w:val="center"/>
      </w:pPr>
      <w:r>
        <w:t xml:space="preserve">draft manuscript under </w:t>
      </w:r>
      <w:r>
        <w:t xml:space="preserve">consideration for </w:t>
      </w:r>
      <w:r>
        <w:t xml:space="preserve">revision </w:t>
      </w:r>
      <w:r>
        <w:t>and</w:t>
      </w:r>
      <w:r>
        <w:t xml:space="preserve"> future submission to the </w:t>
      </w:r>
    </w:p>
    <w:p w:rsidR="0068757E" w:rsidRDefault="0068757E" w:rsidP="0068757E">
      <w:pPr>
        <w:jc w:val="center"/>
        <w:rPr>
          <w:i/>
        </w:rPr>
      </w:pPr>
      <w:r>
        <w:rPr>
          <w:i/>
        </w:rPr>
        <w:t>Labor History</w:t>
      </w:r>
    </w:p>
    <w:p w:rsidR="0068757E" w:rsidRPr="0068757E" w:rsidRDefault="0068757E" w:rsidP="0068757E">
      <w:pPr>
        <w:jc w:val="center"/>
      </w:pPr>
      <w:r>
        <w:t>Ben Blake</w:t>
      </w: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560D60" w:rsidRDefault="00560D60">
      <w:pPr>
        <w:spacing w:line="480" w:lineRule="auto"/>
        <w:rPr>
          <w:b/>
        </w:rPr>
      </w:pPr>
    </w:p>
    <w:p w:rsidR="00EB044A" w:rsidRDefault="00EB044A">
      <w:pPr>
        <w:spacing w:line="480" w:lineRule="auto"/>
        <w:rPr>
          <w:b/>
        </w:rPr>
      </w:pPr>
      <w:bookmarkStart w:id="0" w:name="_GoBack"/>
      <w:bookmarkEnd w:id="0"/>
      <w:r>
        <w:rPr>
          <w:b/>
        </w:rPr>
        <w:lastRenderedPageBreak/>
        <w:t>Introduction: 60 Minutes of Work Every Hour</w:t>
      </w:r>
    </w:p>
    <w:p w:rsidR="0029799F" w:rsidRDefault="00EB044A">
      <w:pPr>
        <w:spacing w:line="480" w:lineRule="auto"/>
      </w:pPr>
      <w:r>
        <w:tab/>
        <w:t>In the quarter century following World War II, General Motors epitomized a  successful American big business. GM consistently beat its own goal of a 20% return on its investment, twice the industrial average. This high profit rate was achieved through a constant drive to increase productivity. As with profits, GM’s productivity gains substantially surpassed averages for the entire manufacturing sector.  However, GM’s profit regime went into crisis in the late 1960’s. After a record year in 1965, profits consistently fell, and then stagnated well below the company’s established 20% target. The most important factor in this decline was foreign competition. By 1970, German and Japanese companies had grabbed 15% of the US auto market. GM’s response to this unprecedented competition was an intensification of traditional methods of improving productivity: the speedup, job elimination and new technology. While these tactics were not new, they were now pursued at a higher level of intensity. Borrowing from Pentagon cold war rhetoric, GM publicly declared a “productivity gap” with the foreign competition. Although industry analysts rated the productivity of the American industry far above the foreign competition of the time, GM viewed increasing productivity as the primary way in which it could both compete with the low priced, high quality foreign competition, and generally re-establish high corporate profits. When the GM Lordstown’s plant was selected to produce the new sub-compact Vega, it became an immediate showcase for the new technology employed in this strategy.</w:t>
      </w:r>
      <w:r w:rsidR="0029799F">
        <w:rPr>
          <w:rStyle w:val="FootnoteReference"/>
        </w:rPr>
        <w:footnoteReference w:id="1"/>
      </w:r>
    </w:p>
    <w:p w:rsidR="0029799F" w:rsidRDefault="0029799F">
      <w:pPr>
        <w:spacing w:line="480" w:lineRule="auto"/>
      </w:pPr>
      <w:r>
        <w:lastRenderedPageBreak/>
        <w:tab/>
        <w:t>GM’s comeback strategy meant a tougher stance toward the UAW. On the national level, GM took a national 67 day strike in 1970 in order to contain union wage and benefit gains. On the local level, GM management mounted an offensive against the union that marked a sharp departure from post-World War II practices. Since the early 1950’s, GM and the UAW had developed a pattern of local contract bargaining which coincided with national contract negotiations. UAW locals would settle their contracts at roughly the same time as the national agreement. This local contract would then set the framework for the daily give and take between management “prerogatives” and union rights. Beginning in 1968, GM broke this traditional pattern of local bargaining in its effort to achieve sharply higher productivity. As the Chevrolet assembly and Fisher body divisions were consolidated into the General Motors Assembly Division (GMAD), new management teams declared all previous local union contracts, agreements and understandings void. This unilateral declaration was followed by a management campaign to eliminate jobs, speed-up the assembly line, enforce much stricter discipline, and clamp down on absenteeism and tardiness.</w:t>
      </w:r>
      <w:r>
        <w:rPr>
          <w:rStyle w:val="FootnoteReference"/>
        </w:rPr>
        <w:footnoteReference w:id="2"/>
      </w:r>
      <w:r>
        <w:t xml:space="preserve"> </w:t>
      </w:r>
    </w:p>
    <w:p w:rsidR="0029799F" w:rsidRDefault="0029799F">
      <w:pPr>
        <w:spacing w:line="480" w:lineRule="auto"/>
      </w:pPr>
      <w:r>
        <w:tab/>
        <w:t>GMAD’s preeminent goal was to raise productivity through the simple age old method of driving workers to work harder. As Joseph Godfrey, president of GMAD, publicly declared, “Within reason and without endangering their health, if we can occupy a man for 60 minutes [of every hour on the job] we’ve got that right.”</w:t>
      </w:r>
      <w:r>
        <w:rPr>
          <w:rStyle w:val="FootnoteReference"/>
        </w:rPr>
        <w:footnoteReference w:id="3"/>
      </w:r>
      <w:r>
        <w:t xml:space="preserve"> This goal represented the ideal of a totally automated worker. However, for practical purposes, GMAD aimed to increase the proportion of time an assembler was working from the old </w:t>
      </w:r>
      <w:r>
        <w:lastRenderedPageBreak/>
        <w:t>standard of 65% to a new target of 85-90%. In theory, this meant that an assembler was now expected to be in motion 50 to 54 minutes of every hour doing at least 100 repetitive cycles of a set of tasks. Six to ten minutes an hour were allocated to deal with technical problems such as bad parts, improper fits or broken tools, or simply to take time off to catch one’s breath, take a drag off a cigarette or get a drink of water.</w:t>
      </w:r>
      <w:r>
        <w:rPr>
          <w:rStyle w:val="FootnoteReference"/>
        </w:rPr>
        <w:t xml:space="preserve"> </w:t>
      </w:r>
      <w:r>
        <w:t>In reality, shop floor management violated GMAD’s own guidelines in their zeal to improve productivity. Job classifications were often loaded with so many tasks that a worker could not even keep up with the line, let alone have any recuperation time.</w:t>
      </w:r>
      <w:r>
        <w:rPr>
          <w:rStyle w:val="FootnoteReference"/>
        </w:rPr>
        <w:footnoteReference w:id="4"/>
      </w:r>
    </w:p>
    <w:p w:rsidR="0029799F" w:rsidRDefault="0029799F">
      <w:pPr>
        <w:spacing w:line="480" w:lineRule="auto"/>
      </w:pPr>
      <w:r>
        <w:tab/>
        <w:t xml:space="preserve">As Godfrey’s comment reveals, GMAD’s goal of an almost inhuman level of productivity was within management prerogatives, as recognized by both the company and the union. Since 1950, the famous “Treaty of Detroit” enshrined the traditional industry concept of “a fair day’s work for a fair day’s pay” in the national GM-UAW contract. This meant that the national union leadership essentially accepted management’s continuous improvements in productivity in exchange for higher wages and better benefits. Consequently, the most important issues relating to productivity were relegated to the union’s locals, who were virtually left on their own to establish working conditions in the plants. As a result, management could bring the entire resources of the corporation to bear on driving up productivity in one plant, while the local union remained isolated and received little help from the international. Nonetheless, UAW locals were often able to establish fairly good conditions in the post-World War II era. This union success changed with GMAD’s hard driving systematic approach as it took </w:t>
      </w:r>
      <w:r>
        <w:lastRenderedPageBreak/>
        <w:t>over successive assembly plants beginning in the mid-1960’s. Lordstown was number seven on the list.</w:t>
      </w:r>
    </w:p>
    <w:p w:rsidR="0029799F" w:rsidRDefault="0029799F">
      <w:pPr>
        <w:spacing w:line="480" w:lineRule="auto"/>
      </w:pPr>
      <w:r>
        <w:rPr>
          <w:b/>
        </w:rPr>
        <w:t>The Schmozzle: Organized Chaos</w:t>
      </w:r>
    </w:p>
    <w:p w:rsidR="0029799F" w:rsidRDefault="0029799F">
      <w:pPr>
        <w:spacing w:line="480" w:lineRule="auto"/>
      </w:pPr>
      <w:r>
        <w:tab/>
        <w:t>As the summer of 1971 ended, Lordstown auto workers felt a sense of pride and accomplishment in what they had achieved, both in building Motor Trend’s “Car of the Year” and in establishing reasonably good working conditions in the plant. At the same time, management felt that they had overcome a number of the initial problems in introducing robotic and modular assembly technology and had now proven its worth to the corporation.</w:t>
      </w:r>
      <w:r>
        <w:rPr>
          <w:rStyle w:val="FootnoteReference"/>
        </w:rPr>
        <w:footnoteReference w:id="5"/>
      </w:r>
    </w:p>
    <w:p w:rsidR="0029799F" w:rsidRDefault="0029799F">
      <w:pPr>
        <w:spacing w:line="480" w:lineRule="auto"/>
      </w:pPr>
      <w:r>
        <w:tab/>
        <w:t>However, the achievements of the Lordstown plant were increasingly over-shadowed by the declining overall profit rate of the corporation. New technology as promoted by GM’s whiz kid, John DeLorean, was no longer seen as a panacea.</w:t>
      </w:r>
      <w:r>
        <w:rPr>
          <w:rStyle w:val="FootnoteReference"/>
        </w:rPr>
        <w:footnoteReference w:id="6"/>
      </w:r>
      <w:r>
        <w:t xml:space="preserve"> Technology would have to be coupled with hard nosed management to meet the foreign competition. GMAD got the call to complete the task of transforming Lordstown into a model of GM’s future in the spring of 1971 and officially took over the plant on </w:t>
      </w:r>
    </w:p>
    <w:p w:rsidR="0029799F" w:rsidRDefault="0029799F">
      <w:pPr>
        <w:spacing w:line="480" w:lineRule="auto"/>
      </w:pPr>
      <w:r>
        <w:t>October 1st.</w:t>
      </w:r>
    </w:p>
    <w:p w:rsidR="0029799F" w:rsidRDefault="0029799F">
      <w:pPr>
        <w:spacing w:line="480" w:lineRule="auto"/>
      </w:pPr>
      <w:r>
        <w:tab/>
        <w:t>At first, the new management team maintained a low profile. Signs in German and Japanese were posted in various parts of the plant warning of the foreign competition. Meetings were organized stressing improved quality. As one truck assembly worker noted, “For October and November, when GMAD started, they were emphasizing better quality and I think everyone believed them.”</w:t>
      </w:r>
      <w:r>
        <w:rPr>
          <w:rStyle w:val="FootnoteReference"/>
        </w:rPr>
        <w:footnoteReference w:id="7"/>
      </w:r>
      <w:r>
        <w:t xml:space="preserve"> Only a small number of jobs were </w:t>
      </w:r>
      <w:r>
        <w:lastRenderedPageBreak/>
        <w:t>eliminated, mostly off-assembly line positions, and  there was no significant increase in work loads or discipline.</w:t>
      </w:r>
    </w:p>
    <w:p w:rsidR="0029799F" w:rsidRDefault="0029799F">
      <w:pPr>
        <w:spacing w:line="480" w:lineRule="auto"/>
      </w:pPr>
      <w:r>
        <w:tab/>
        <w:t>GMAD’s initial approach meant that the new management’s style never became an issue in the mid-November local union elections. What was the hottest election issue was racism. Du Du Ujama</w:t>
      </w:r>
      <w:r>
        <w:rPr>
          <w:rStyle w:val="FootnoteReference"/>
        </w:rPr>
        <w:footnoteReference w:id="8"/>
      </w:r>
      <w:r>
        <w:t>,  a newly formed Black caucus, endorsed a number of Black and white candidates in its campaign against discrimination. Most of these candidates were members of the Rank and File Caucus slate, which was somewhat more liberal and militant than the United Action Caucus. During the campaign, some of the most conservative UAC members played on white fears of a Black “takeover” of the local, supported skilled trades opposition to affirmative action, and even labeled the RFC candidate for Chairman of the Shop Committee, a “n----- lover.” When the votes were tallied, the RFC caucus went down to a narrow defeat with over 80% of the membership participating in the election. Only 2 of a total of 64 union positions were won by African-Americans. One of the founders of Du Du Ujama remembered, “The day after the election, whites smiled and smiled about their victory and Blacks were browbeaten. Everyone went around with their heads down. It was an expression of white backlash.... They misunderstood everything we stood for. It was part of again affronting our manhood.”</w:t>
      </w:r>
      <w:r>
        <w:rPr>
          <w:rStyle w:val="FootnoteReference"/>
        </w:rPr>
        <w:footnoteReference w:id="9"/>
      </w:r>
    </w:p>
    <w:p w:rsidR="0029799F" w:rsidRDefault="0029799F">
      <w:pPr>
        <w:spacing w:line="480" w:lineRule="auto"/>
      </w:pPr>
      <w:r>
        <w:tab/>
        <w:t xml:space="preserve">Into this atmosphere of racial polarization and union factionalism, GMAD launched an all out productivity offensive. GMAD aimed to cut labor costs through the traditional industry approach of eliminating jobs, loading the remaining jobs with more </w:t>
      </w:r>
      <w:r>
        <w:lastRenderedPageBreak/>
        <w:t>tasks, and maintaining or even increasing assembly line speeds. As one of the truck plant committeemen remembered, “After the elections, they hit us hard. It was just an out-and-out fight.”</w:t>
      </w:r>
      <w:r>
        <w:rPr>
          <w:rStyle w:val="FootnoteReference"/>
        </w:rPr>
        <w:footnoteReference w:id="10"/>
      </w:r>
      <w:r>
        <w:t xml:space="preserve"> During the first month of  GMAD’s productivity campaign, the local union did not present a general strategy for fighting back.</w:t>
      </w:r>
      <w:r>
        <w:rPr>
          <w:rStyle w:val="FootnoteReference"/>
        </w:rPr>
        <w:t xml:space="preserve"> </w:t>
      </w:r>
      <w:r>
        <w:rPr>
          <w:rStyle w:val="FootnoteReference"/>
        </w:rPr>
        <w:footnoteReference w:id="11"/>
      </w:r>
      <w:r>
        <w:t xml:space="preserve"> One truck plant reliefman recalled, “... the union didn’t tell us to go out and do anything. But they said to use your judgment.”</w:t>
      </w:r>
      <w:r>
        <w:rPr>
          <w:rStyle w:val="FootnoteReference"/>
        </w:rPr>
        <w:footnoteReference w:id="12"/>
      </w:r>
      <w:r>
        <w:t xml:space="preserve"> This meant that in the first month of management’s offensive the union ranks were virtually left on their own to confront GMAD. </w:t>
      </w:r>
    </w:p>
    <w:p w:rsidR="0029799F" w:rsidRDefault="0029799F">
      <w:pPr>
        <w:spacing w:line="480" w:lineRule="auto"/>
      </w:pPr>
      <w:r>
        <w:tab/>
        <w:t>Almost immediately, there was a revival of the tactics that had been used in past years to win decent working conditions. As the union ranks united on matters of common concern, the racial and factional tensions of the election receded into the background.</w:t>
      </w:r>
    </w:p>
    <w:p w:rsidR="0029799F" w:rsidRDefault="0029799F">
      <w:pPr>
        <w:spacing w:line="480" w:lineRule="auto"/>
      </w:pPr>
      <w:r>
        <w:t>One African-American cushion room worker put the revival of a united attitude toward management in these words, “You chew one out, you better be ready to deal with 79.”</w:t>
      </w:r>
      <w:r>
        <w:rPr>
          <w:rStyle w:val="FootnoteReference"/>
        </w:rPr>
        <w:footnoteReference w:id="13"/>
      </w:r>
      <w:r>
        <w:t xml:space="preserve"> </w:t>
      </w:r>
    </w:p>
    <w:p w:rsidR="0029799F" w:rsidRDefault="0029799F">
      <w:pPr>
        <w:spacing w:line="480" w:lineRule="auto"/>
      </w:pPr>
      <w:r>
        <w:tab/>
        <w:t xml:space="preserve">As workers joined together to re-start the often sectional and sporadic tactics of the past, the most important issue was work standards, the amount of tasks GMAD could assign to a particular individual’s job classification. Under Paragraph 78 of the national GM-UAW contract, any changes in work loads were grounds for a grievance, and could even be grounds for an official local strike if enough grievances of this type accumulated unresolved. In the past, GM management would add work to a job, and the affected worker would routinely file a grievance. The dispute would then work through the various steps of the grievance procedure until union and management representatives </w:t>
      </w:r>
      <w:r>
        <w:lastRenderedPageBreak/>
        <w:t>reached a settlement. In the interim, it was agreed that the worker involved would not be disciplined for not meeting the new work standard. At any particular time, it was routine for a local union to carry a backlog of several dozen 78 grievances that were in the process of working their way through the grievance procedure.</w:t>
      </w:r>
    </w:p>
    <w:p w:rsidR="0029799F" w:rsidRDefault="0029799F">
      <w:pPr>
        <w:spacing w:line="480" w:lineRule="auto"/>
      </w:pPr>
      <w:r>
        <w:tab/>
        <w:t>For assemblers, the issue of work standards was critical. Work standards determined the pace and difficulty of a job, and indirectly impacted job security. As GMAD began the wholesale elimination of jobs  and revision of work standards, workers followed the past practice of resisting the additional work and filing a 78 grievance. However, GMAD now reacted by immediately disciplining workers for not keeping up with the new load. Within days, dozens of workers were given a Disciplinary Lay Off (DLO) for not meeting GMAD’s new work standards. In the past, workers had learned that filing a grievance was often not enough to win a dispute. To be effective, grievances had to be backed up with shop floor action. With GMAD handing out instant discipline, the need for what one trim department committeeman called “guerrilla tactics” and “extra-contractual” methods was very clear.</w:t>
      </w:r>
      <w:r>
        <w:rPr>
          <w:rStyle w:val="FootnoteReference"/>
        </w:rPr>
        <w:footnoteReference w:id="14"/>
      </w:r>
    </w:p>
    <w:p w:rsidR="0029799F" w:rsidRDefault="0029799F">
      <w:pPr>
        <w:spacing w:line="480" w:lineRule="auto"/>
      </w:pPr>
      <w:r>
        <w:tab/>
        <w:t xml:space="preserve">One dispute in the paint shop was typical of the confrontations erupting throughout the plant. One day, the foreman announced that the task of putting a set of clips on each vehicle would now be done by five workers instead of the usual crew of six. He then brought in a crew of five hand picked absentee relief operators to prove it could be done. The battle was on. The original reduced crew fought to get the sixth man back. One militant worker, who was influenced by the counter-culture of the time, led the fight. He described what it was like at the height of the conflict in these terms, “They treated us </w:t>
      </w:r>
      <w:r>
        <w:lastRenderedPageBreak/>
        <w:t>like animals, human robots. They set the speed they want you to work and if you can’t do it they put you on notice. I would miss about half the added work.... We filed grievances for harassment, bird-dogging[close supervision], dual supervision. The original 78 was signed by all five of us. We were getting kicked out the door an average of two a day....”</w:t>
      </w:r>
      <w:r>
        <w:rPr>
          <w:rStyle w:val="FootnoteReference"/>
        </w:rPr>
        <w:footnoteReference w:id="15"/>
      </w:r>
      <w:r>
        <w:t xml:space="preserve">  </w:t>
      </w:r>
    </w:p>
    <w:p w:rsidR="0029799F" w:rsidRDefault="0029799F">
      <w:pPr>
        <w:spacing w:line="480" w:lineRule="auto"/>
      </w:pPr>
      <w:r>
        <w:tab/>
        <w:t>This pattern was repeated all over the plant. An assembler would refuse to do the additional work added onto his or her job and would then be immediately kicked out of the plant on a DLO. When the worker returned, the same thing would happen all over again. Each time, the assembler would be on the job for a shorter period of time and the lay off would be longer. The experience of one trim department worker was typical. He was kicked out of the plant four successive times. The last time he worked 6 minutes and received a 30 day DLO. His paycheck was for 91 cents. By the beginning of December, a large number of workers were on long term DLO’s and the repeated battles over work standards created a tense and confrontational atmosphere in the plant.</w:t>
      </w:r>
      <w:r>
        <w:rPr>
          <w:rStyle w:val="FootnoteReference"/>
        </w:rPr>
        <w:footnoteReference w:id="16"/>
      </w:r>
    </w:p>
    <w:p w:rsidR="0029799F" w:rsidRDefault="0029799F">
      <w:pPr>
        <w:spacing w:line="480" w:lineRule="auto"/>
      </w:pPr>
      <w:r>
        <w:tab/>
        <w:t xml:space="preserve">As the number of grievances and DLO’s escalated, it quickly became apparent to the union ranks that GMAD was not playing by the old rules of the game. Not only were foremen disciplining workers who had pending work standards grievances, they were refusing to even discuss grievances, let alone settle them through the normal procedures. Often foremen would even ignore a worker’s request to put a call in for a committeeman to discuss a grievance, a practice that had been established in the industry for decades. In this first phase of the schmozzle, some committeemen had backlogs of up to 300 requests for union representation, equal to at least one request from every worker in his zone. </w:t>
      </w:r>
      <w:r>
        <w:lastRenderedPageBreak/>
        <w:t>Even if a worker was able to get in contact with his or her committeeman, grievances were simply piling up unresolved.</w:t>
      </w:r>
    </w:p>
    <w:p w:rsidR="0029799F" w:rsidRDefault="0029799F">
      <w:pPr>
        <w:spacing w:line="480" w:lineRule="auto"/>
      </w:pPr>
      <w:r>
        <w:tab/>
        <w:t>GMAD was simply running the plant as if the union didn’t exist. One union militant’s experience was typical, “You would say [to a foreman] this is what’s in the [union] contract, and they’d say, ‘You don’t have a contract.’”</w:t>
      </w:r>
      <w:r>
        <w:rPr>
          <w:rStyle w:val="FootnoteReference"/>
        </w:rPr>
        <w:footnoteReference w:id="17"/>
      </w:r>
      <w:r>
        <w:t xml:space="preserve">  The local union leadership believed that GMAD was trying to provoke a wildcat that would justify mass firings and bring the international union in to clamp down on any militancy. </w:t>
      </w:r>
    </w:p>
    <w:p w:rsidR="0029799F" w:rsidRDefault="0029799F">
      <w:pPr>
        <w:spacing w:line="480" w:lineRule="auto"/>
      </w:pPr>
      <w:r>
        <w:tab/>
        <w:t>In any event, it became very clear that GMAD believed that its campaign to drive up productivity could only be successful through a broad-based attack on all union rights. As one GMAD inspired superintendent told a meeting of foremen, “Everything is a matter of control.”</w:t>
      </w:r>
      <w:r>
        <w:rPr>
          <w:rStyle w:val="FootnoteReference"/>
        </w:rPr>
        <w:footnoteReference w:id="18"/>
      </w:r>
      <w:r>
        <w:t xml:space="preserve"> The relatively comfortable accommodation between the union and management that had been established in the past year was to be abolished. Foremen would no longer agree to the various arrangements such as “doubling up” on the line, or the informal quotas on off-line jobs that provided critical extra relief time from the driving monotony and boredom of the job. A new level of intense and continuous discipline was to be enforced on the entire work force. Now, foremen began giving out Disciplinary Lay Offs for walking too slow, reading, not standing on an “X” drawn on the floor, “loitering” at the coffee machine, laughing at a supervisor, singing, farting, yodeling or “spreading malicious rumors.”</w:t>
      </w:r>
      <w:r>
        <w:rPr>
          <w:rStyle w:val="FootnoteReference"/>
        </w:rPr>
        <w:footnoteReference w:id="19"/>
      </w:r>
      <w:r>
        <w:t xml:space="preserve"> One ex-foreman remembered that GMAD upper-level management would say, “‘Fire this person.’ They didn’t care what the reason was. They wanted me to discipline  them when there wasn’t any reason. They’d have me </w:t>
      </w:r>
      <w:r>
        <w:lastRenderedPageBreak/>
        <w:t>throw a guy out for dropping a bolt to throw the scare into people. One day the superintendent would say to me, ‘I don’t like the way the line ran today. Throw somebody out. If you don’t, I’ll throw you out.” The foremen even had  contests among themselves to see how many people they could throw out. “They’d even take bets among themselves. I had the record--12 in two days.... We’d all go up in the meetings and everyone would say how many they’d thrown out. If they didn’t [throw people out], they were bums.”</w:t>
      </w:r>
      <w:r>
        <w:rPr>
          <w:rStyle w:val="FootnoteReference"/>
        </w:rPr>
        <w:footnoteReference w:id="20"/>
      </w:r>
      <w:r>
        <w:t xml:space="preserve"> Moreover, it wasn’t just the militants who were targeted. As one truck plant union activist remembered, “What ticked me was the guys who’d never done anything, Mr. Good-Guys, who always come to work and see no injustice as long as they get their checks. They got treated the same way.”</w:t>
      </w:r>
      <w:r>
        <w:rPr>
          <w:rStyle w:val="FootnoteReference"/>
        </w:rPr>
        <w:footnoteReference w:id="21"/>
      </w:r>
    </w:p>
    <w:p w:rsidR="0029799F" w:rsidRDefault="0029799F">
      <w:pPr>
        <w:spacing w:line="480" w:lineRule="auto"/>
      </w:pPr>
      <w:r>
        <w:tab/>
        <w:t>GMAD’s abrupt change in management style meant a renewed polarization between assemblers and foremen on the shop floor. Workers who had gone through the early non-union startup of the plant, and the subsequent four year struggle to establish decent union working conditions, were the most enraged by GMAD’s attempt to turn back the clock. A militant in the trim department remembered, “... they’d come so far and the company tried to take it away in one stroke. That just makes me a stronger union man.”</w:t>
      </w:r>
      <w:r>
        <w:rPr>
          <w:rStyle w:val="FootnoteReference"/>
        </w:rPr>
        <w:footnoteReference w:id="22"/>
      </w:r>
      <w:r>
        <w:t xml:space="preserve">  A tri-level worker put it this way, “Things were tight in ‘66 on discipline, but the longer we were there, the more lax they were. Once you’ve got rights, you don’t want to give them up.”</w:t>
      </w:r>
      <w:r>
        <w:rPr>
          <w:rStyle w:val="FootnoteReference"/>
        </w:rPr>
        <w:footnoteReference w:id="23"/>
      </w:r>
    </w:p>
    <w:p w:rsidR="0029799F" w:rsidRDefault="0029799F">
      <w:pPr>
        <w:spacing w:line="480" w:lineRule="auto"/>
      </w:pPr>
      <w:r>
        <w:tab/>
        <w:t xml:space="preserve">Management’s new authoritarian approach also changed the attitudes of lower seniority workers. Although they had not gone through the battles of the previous years, </w:t>
      </w:r>
      <w:r>
        <w:lastRenderedPageBreak/>
        <w:t>most younger workers were just as ardently opposed to GMAD. A relief operator in the trim department remembered, “I liked it before GMAD, the moral support. Guys were friendly. You could talk to guys about cars and girls. Most of the guys had done some of the same things, in service or college. We were all on the same track. It was the easiest place I’ve ever been to make friends... but with GMAD, you had one thing in common, you hated GMAD.”</w:t>
      </w:r>
      <w:r>
        <w:rPr>
          <w:rStyle w:val="FootnoteReference"/>
        </w:rPr>
        <w:footnoteReference w:id="24"/>
      </w:r>
      <w:r>
        <w:t xml:space="preserve"> A woman who worked as an assembler in the truck plant summarized the general opinion of GMAD in this way, “You shouldn’t have to work under continual harassment and pressure....If they could bring in slave labor, they’d do it. Their attitude is disgusting.”</w:t>
      </w:r>
      <w:r>
        <w:rPr>
          <w:rStyle w:val="FootnoteReference"/>
        </w:rPr>
        <w:footnoteReference w:id="25"/>
      </w:r>
      <w:r>
        <w:t xml:space="preserve"> One worker jokingly contended that the “Geneva rules of war” should apply to GMAD’s “Bataan death march” management methods. Soon it became common to refer to management as “Nazis,” the “Gestapo,” or the “white shirts,” an analogy to Hitler’s “brown shirts.” Some workers even began giving foremen “Sieg Heil” stiff arm salutes in protest to management’s new attitude.</w:t>
      </w:r>
      <w:r>
        <w:rPr>
          <w:rStyle w:val="FootnoteReference"/>
        </w:rPr>
        <w:footnoteReference w:id="26"/>
      </w:r>
    </w:p>
    <w:p w:rsidR="0029799F" w:rsidRDefault="0029799F">
      <w:pPr>
        <w:spacing w:line="480" w:lineRule="auto"/>
      </w:pPr>
      <w:r>
        <w:tab/>
        <w:t xml:space="preserve">To counter GMAD’s authoritarianism, the union ranks developed a wide range of expressions of solidarity and unity. When one superintendent announced that he didn’t like hippies with beards, several of the more militant committeemen began growing beards. T-shirts sprouted up in various parts of the plant illustrated with a screw going through GMAD, or a profane middle finger and GMAD, or “GMAD Killers, ” or simply “We Will Win” and the UAW emblem. In the November issue of </w:t>
      </w:r>
      <w:r>
        <w:rPr>
          <w:u w:val="single"/>
        </w:rPr>
        <w:t>See Hear</w:t>
      </w:r>
      <w:r>
        <w:t xml:space="preserve">, the union newspaper, the local President expressed this new sense of unity against management when he urged members to be a “Radical--a person who gets involved in a problem or a </w:t>
      </w:r>
      <w:r>
        <w:lastRenderedPageBreak/>
        <w:t>situation and then does something about it. Be a radical--GET INVOLVED. DO SOMETHING!”</w:t>
      </w:r>
      <w:r>
        <w:rPr>
          <w:rStyle w:val="FootnoteReference"/>
        </w:rPr>
        <w:footnoteReference w:id="27"/>
      </w:r>
      <w:r>
        <w:t xml:space="preserve"> A more militant committeeman put it this way, “When you’re in there, it’s total war. You’re out for blood. You got to fuck them before they fuck you.”</w:t>
      </w:r>
      <w:r>
        <w:rPr>
          <w:rStyle w:val="FootnoteReference"/>
        </w:rPr>
        <w:footnoteReference w:id="28"/>
      </w:r>
    </w:p>
    <w:p w:rsidR="0029799F" w:rsidRDefault="0029799F">
      <w:pPr>
        <w:spacing w:line="480" w:lineRule="auto"/>
      </w:pPr>
      <w:r>
        <w:tab/>
        <w:t>As GMAD intensified their offensive, rank and file workers matched symbolic gestures and calls for unity and solidarity with action, which soon became known as the “schmozzle”.</w:t>
      </w:r>
      <w:r>
        <w:rPr>
          <w:rStyle w:val="FootnoteReference"/>
        </w:rPr>
        <w:t xml:space="preserve"> </w:t>
      </w:r>
      <w:r>
        <w:rPr>
          <w:rStyle w:val="FootnoteReference"/>
        </w:rPr>
        <w:footnoteReference w:id="29"/>
      </w:r>
      <w:r>
        <w:t xml:space="preserve">  The schmozzle took many forms and ranged from individual acts of defiance to collective actions that effected an entire assembly line. One type of resistance involved games of reverse-harassment directed back at foremen. The “Sparticus” tactic was used when a foreman gave out some petty order or form of discipline. For example, a worker might be told on a hot day to put his T-shirt back on. All of a sudden, an entire crew would take off their shirts. In one instance, an assembler was disciplined for wearing tennis shoes on the job. The next day an entire department came to work with tennis shoes on. The alternate steward even had to go out and buy a pair that night to support the action. Another game was simply called “get-the-foreman.” It involved playing practical jokes on supervisors, such as putting glue on his telephone or dumping water on him from an elevated platform. Some work crews used a “fire drill” technique in which all the assemblers would ask to go to the rest room or the plant hospital at the same time.</w:t>
      </w:r>
      <w:r>
        <w:rPr>
          <w:rStyle w:val="FootnoteReference"/>
        </w:rPr>
        <w:footnoteReference w:id="30"/>
      </w:r>
    </w:p>
    <w:p w:rsidR="0029799F" w:rsidRDefault="0029799F">
      <w:pPr>
        <w:spacing w:line="480" w:lineRule="auto"/>
      </w:pPr>
      <w:r>
        <w:tab/>
        <w:t xml:space="preserve">The more critical battles directly effected production and involved a wide range of tactics. In the day-to-day confrontations with the foreman, a worker might employ the “Brer Rabbit” technique of using deception to play management off against each other, or </w:t>
      </w:r>
      <w:r>
        <w:lastRenderedPageBreak/>
        <w:t>to get away with various forms of disrupting production while appearing to be a fully cooperative employee. Acting dumb or as if instructions weren’t heard or understood was also a common tactic. In another form of resistance, an assembler might shift into a “robot” mode performing only what he or she is told to do. “Working-to-rule,” doing precisely what was in the official job description, could also be used to foul up production. The most common forms of fighting back included simply working slowly, or missing the installation of a part, particularly if it had been added on to the job. An extreme form of missing work involved sub-assemblies which may or may not have parts added, but were not actually put together. In one example, a “Do Not Assemble” sign was posted on an engine block, which then proceeded down the motor line without a single part being added. In another case, vehicle seats would have all their parts, but would simply fall apart when they reached the end of a sub-assembly line. When GMAD abolished or raised informal quotas in effect in many sub-assembly areas, workers simply enforced new quotas that were lower than the original pre-GMAD level of production. In the sharpest confrontations, assemblers resorted to the sabotage of tools, vehicles or even the assembly line conveyor itself.</w:t>
      </w:r>
      <w:r>
        <w:rPr>
          <w:rStyle w:val="FootnoteReference"/>
        </w:rPr>
        <w:footnoteReference w:id="31"/>
      </w:r>
      <w:r>
        <w:t xml:space="preserve"> </w:t>
      </w:r>
    </w:p>
    <w:p w:rsidR="0029799F" w:rsidRDefault="0029799F">
      <w:pPr>
        <w:spacing w:line="480" w:lineRule="auto"/>
      </w:pPr>
      <w:r>
        <w:tab/>
        <w:t>It was not uncommon for these individual acts of resistance to spread to all the workers in one area or even an entire department. This often occurred when one worker was singled out for severe harassment or discipline. A body shop militant recalled, “... if the foreman leans on one guy, everyone feels it. They work like hell, but nothing gets done. They miss welds, and the guns go down [welding guns malfunction] as if there were a switch.”</w:t>
      </w:r>
      <w:r>
        <w:rPr>
          <w:rStyle w:val="FootnoteReference"/>
        </w:rPr>
        <w:footnoteReference w:id="32"/>
      </w:r>
      <w:r>
        <w:t xml:space="preserve"> In the trim department, “They’d add work to a guy and he couldn’t keep </w:t>
      </w:r>
      <w:r>
        <w:lastRenderedPageBreak/>
        <w:t>up. They’d throw him out the door. The other guys get mad and ship shit. They wouldn’t do their job or work in the hole. There would be 30 or 40 write-ups [defects per vehicle recorded by inspectors]. You could just feel the tension between labor and management. It was like somebody wanting to hit someone or even kill.”</w:t>
      </w:r>
      <w:r>
        <w:rPr>
          <w:rStyle w:val="FootnoteReference"/>
        </w:rPr>
        <w:footnoteReference w:id="33"/>
      </w:r>
    </w:p>
    <w:p w:rsidR="0029799F" w:rsidRDefault="0029799F">
      <w:pPr>
        <w:spacing w:line="480" w:lineRule="auto"/>
      </w:pPr>
      <w:r>
        <w:tab/>
        <w:t>In the most militant departments, committeemen would coordinate slow downs and missing parts or disassembly campaigns in support of workers in other sections of the plant. In the cushion room, the committeeman remembered one night, “I just told them the guys on towveyor [department] are getting their asses kicked, six or more a night [were being given DLO’s]. They’ve got foremen all over them. We’ve got to help out. The only way we can get the white shirts away [out of the towveyor department] is to cause trouble here. So ship shit....In 2.3 hours, 125 out of 137 seats went to repair. We shut the plant down three nights.”</w:t>
      </w:r>
      <w:r>
        <w:rPr>
          <w:rStyle w:val="FootnoteReference"/>
        </w:rPr>
        <w:footnoteReference w:id="34"/>
      </w:r>
      <w:r>
        <w:t xml:space="preserve"> The tri-level area, where completed vehicles were loaded on railroad cars or trucks for shipment to dealers, was also known for its militancy and solidarity. Before GMAD, the tri-level would complete preparing 76-80 loads of vehicles a day for shipment. Then in mid-November, GMAD cut the number of workers from 24 to 18 and demanded 112 loads a day. The workers reacted with a slowdown aimed to ship only 60 loads a day. At the height of the struggle as few as 4 loads were completed in a shift. The tri-level slowdown was designed to not only restore jobs and a sane work pace in the department, but also to support the general struggle against GMAD. This meant that no matter how much production GMAD managed to get out of the plant, they’d still have problems shipping it. An African-American alternate committeeman put it in these words, “We were asked to show brotherly support to the </w:t>
      </w:r>
      <w:r>
        <w:lastRenderedPageBreak/>
        <w:t>rest of the plant. We had it easy when they started messing with the rest of the plant, so we started showing solidarity.... We wanted to get rid of all those foremen [GMAD had added]. We wanted the discipline to stop. So, if they decided to play war, we’d do the same thing.”</w:t>
      </w:r>
      <w:r>
        <w:rPr>
          <w:rStyle w:val="FootnoteReference"/>
        </w:rPr>
        <w:footnoteReference w:id="35"/>
      </w:r>
    </w:p>
    <w:p w:rsidR="0029799F" w:rsidRDefault="0029799F">
      <w:pPr>
        <w:spacing w:line="480" w:lineRule="auto"/>
      </w:pPr>
      <w:r>
        <w:tab/>
        <w:t xml:space="preserve">As the tri-level and cushion room battles reveal, GMAD was losing the opening round in the war to regain more control of the plant. Only a few workers voluntarily agreed with GMAD’s new aggressive management approach, and only a somewhat larger group was intimidated into submission. This minority was not large enough to tip the balance in GMAD’s favor. The great majority of workers supported the schmozzle. In fact, resistance grew in this first phase of the struggle as more work teams, areas and departments engaged in collective actions. Production declined sharply and repairs skyrocketed.   </w:t>
      </w:r>
    </w:p>
    <w:p w:rsidR="0029799F" w:rsidRDefault="0029799F">
      <w:pPr>
        <w:spacing w:line="480" w:lineRule="auto"/>
      </w:pPr>
      <w:r>
        <w:tab/>
        <w:t>In the third week of the schmozzle, GMAD raised the stakes by charging that workers were deliberately sabotaging production. On December 7th, the local union leadership reacted defensively with a leaflet entitled, “WE DO NOT CONDONE SABOTAGE.” The leaflet urged the union ranks to “maintain strong Union discipline and fight this battle with General Motors in a legitimate matter. Do not engage in any acts of sabotage.”</w:t>
      </w:r>
      <w:r>
        <w:rPr>
          <w:rStyle w:val="FootnoteReference"/>
        </w:rPr>
        <w:footnoteReference w:id="36"/>
      </w:r>
      <w:r>
        <w:t xml:space="preserve">  </w:t>
      </w:r>
    </w:p>
    <w:p w:rsidR="0029799F" w:rsidRDefault="0029799F">
      <w:pPr>
        <w:spacing w:line="480" w:lineRule="auto"/>
      </w:pPr>
      <w:r>
        <w:tab/>
        <w:t xml:space="preserve">GMAD was not impressed with union denials of sabotage and followed up with “short weeks” beginning in mid-December. This new strategy was designed to counter the schmozzle by sending entire departments, or even whole shifts of workers, home after only 4-6 hours if management felt production and quality were not up to acceptable </w:t>
      </w:r>
      <w:r>
        <w:lastRenderedPageBreak/>
        <w:t xml:space="preserve">levels. Consequently, workers were short changed out of a full 40 hour week as guaranteed by the national GM-UAW contract. GMAD instituted this strategy to prevent the workers from slowing down production and increasing the rate of repairs without suffering any financial consequences. It was a form of collective punishment that amounted to an admission that the scale of resistance was so great that a campaign of disciplining individual workers had failed against the schmozzle. </w:t>
      </w:r>
    </w:p>
    <w:p w:rsidR="0029799F" w:rsidRDefault="0029799F">
      <w:pPr>
        <w:spacing w:line="480" w:lineRule="auto"/>
      </w:pPr>
      <w:r>
        <w:tab/>
        <w:t>As part of the “short week” scheme, GMAD went public with the charge that a “dispute, sabotage and concerted action” was in progress in the plant.</w:t>
      </w:r>
      <w:r>
        <w:rPr>
          <w:rStyle w:val="FootnoteReference"/>
        </w:rPr>
        <w:footnoteReference w:id="37"/>
      </w:r>
      <w:r>
        <w:t xml:space="preserve">  Through this announcement, GMAD hoped to accomplish a number of goals. By claiming there was an ongoing labor “dispute,” GMAD could legally justify breaking the 40 hour guarantee in the national contract. The charge of “sabotage” was aimed at gaining public support against the union, and scapegoating workers for the declining quality of the Vega and Chevy van. Inside the plant, the issue of “sabotage” was used in an attempt to win over more workers to management’s opposition to the schmozzle by charging that irresponsible militants were wrecking production and causing the “short weeks.” </w:t>
      </w:r>
    </w:p>
    <w:p w:rsidR="0029799F" w:rsidRDefault="0029799F">
      <w:pPr>
        <w:spacing w:line="480" w:lineRule="auto"/>
      </w:pPr>
      <w:r>
        <w:tab/>
        <w:t xml:space="preserve">This escalation of the struggle by GMAD put additional pressure on the leadership of Local 1112, which initially reacted by continuing to advocate only sanctioned avenues of recourse,  and to officially distance itself from the schmozzle. In the December issue of </w:t>
      </w:r>
      <w:r>
        <w:rPr>
          <w:u w:val="single"/>
        </w:rPr>
        <w:t>See Hear</w:t>
      </w:r>
      <w:r>
        <w:t xml:space="preserve">, the local leadership announced a policy advocating that the union ranks maintain a  “normal pace” of work in the face of GMAD’s offensive. The union leadership supported the rank and file’s refusal to do the additional work  assigned by GMAD and encouraged the filing of grievances. Beyond filing grievances, the local </w:t>
      </w:r>
      <w:r>
        <w:lastRenderedPageBreak/>
        <w:t>leadership distanced itself from any actions that could be interpreted as a violation of Paragraph 117 of the national contract. This contract clause not only prohibits any action that interferes with production, but it even requires union officials to participate in the disciplining of members who might be involved in such official actions. This is the main reason why local union officials did not officially endorse any of the “extra-contractual” methods of the schmozzle and vehemently argued against any wildcat strikes.</w:t>
      </w:r>
      <w:r>
        <w:rPr>
          <w:rStyle w:val="FootnoteReference"/>
        </w:rPr>
        <w:footnoteReference w:id="38"/>
      </w:r>
    </w:p>
    <w:p w:rsidR="0029799F" w:rsidRDefault="0029799F">
      <w:pPr>
        <w:spacing w:line="480" w:lineRule="auto"/>
      </w:pPr>
      <w:r>
        <w:tab/>
        <w:t>However, the local leadership quickly came under tremendous pressure to do more than simply advocate a “normal” work pace and the filing of grievances. With GMAD refusing to negotiate with the union, the backlog of unresolved grievances grew rapidly. From mid-October to mid-December, the total number of pending grievances rose from 350 to over 3,000, including at least 530 Paragraph 78 work standards grievances. In addition, over 500 workers had received short term DLO’s and another 500 workers had been laid off due to job eliminations. This meant that on average over 55 grievances were filed every shift and over 40 workers were laid off every day during this period.</w:t>
      </w:r>
      <w:r>
        <w:rPr>
          <w:rStyle w:val="FootnoteReference"/>
        </w:rPr>
        <w:footnoteReference w:id="39"/>
      </w:r>
      <w:r>
        <w:t xml:space="preserve"> The only sanctioned way the local leadership could respond to this kind of pressure was to request authorization for an official strike from the international union. The local leadership began making this request to the international in December, but they also began a series of department meetings to discuss shop floor tactics. Without explicitly suggesting actions that were illegal under Paragraph 117, the union officers encouraged resistance. One cushion room committeeman remembered that in these meetings the officers just told the workers, “we need repairs.” Later on the shop floor, he </w:t>
      </w:r>
      <w:r>
        <w:lastRenderedPageBreak/>
        <w:t>remembered the union president visiting his department and congratulating the ranks for producing seats that fell apart as they reached the end of their sub-assembly line.</w:t>
      </w:r>
      <w:r>
        <w:rPr>
          <w:rStyle w:val="FootnoteReference"/>
        </w:rPr>
        <w:footnoteReference w:id="40"/>
      </w:r>
      <w:r>
        <w:t xml:space="preserve">  This sent an unofficial message to the union ranks to intensify the schmozzle as GMAD introduced “short weeks.”</w:t>
      </w:r>
    </w:p>
    <w:p w:rsidR="0029799F" w:rsidRDefault="0029799F">
      <w:pPr>
        <w:spacing w:line="480" w:lineRule="auto"/>
      </w:pPr>
      <w:r>
        <w:tab/>
        <w:t>Despite these meetings and the unofficial encouragement of the schmozzle by the local leadership, there was no central coordination of actions. Groups of workers, often with the support of department committeemen, continued to be left on their own to initiate resistance tactics in various areas of the plant. More militant committeemen might even coordinate actions between departments, but the top local officials remained at arms length from direct participation in the schmozzle. This meant that resistance, despite being wide spread throughout the plant, continued to be very uneven and sporadic, and was organized on a de-centralized, informal and semi-underground basis. One committeeman’s comments at the time, reflected the more moderate approach of the top local officials. He stated that he felt a strategy of “chaos” worked better than coordinated plant-wide resistance.</w:t>
      </w:r>
      <w:r>
        <w:rPr>
          <w:rStyle w:val="FootnoteReference"/>
        </w:rPr>
        <w:footnoteReference w:id="41"/>
      </w:r>
    </w:p>
    <w:p w:rsidR="0029799F" w:rsidRDefault="0029799F">
      <w:pPr>
        <w:spacing w:line="480" w:lineRule="auto"/>
      </w:pPr>
      <w:r>
        <w:tab/>
        <w:t xml:space="preserve">While the top local leadership generally encouraged most schmozzle tactics, they not only officially condemned sabotage, but also unofficially discouraged its use. However, the local continued to defend members accused of sabotage, and some of the more militant committeemen even unofficially endorsed its use. As in any industrial plant, minor sabotage to get back at perceived management injustice was a daily occurrence at Lordstown. With tensions running high during the schmozzle, sabotage did increase, but it was still not very common, and was usually used as a last resort when </w:t>
      </w:r>
      <w:r>
        <w:lastRenderedPageBreak/>
        <w:t>other tactics failed against GMAD. The most common types of sabotage involved techniques to shut down the assembly line conveyor, such as getting a welding cord caught in a vehicle body on the line. A bolder approach might involve stuffing a metal part into the drive chain of the assembly line conveyor to bring the line down. On the vehicles, sabotage usually involved obvious damage such as scratching a paint job, driving a bolt through an engine block, or breaking a key off in the ignition.</w:t>
      </w:r>
      <w:r>
        <w:rPr>
          <w:rStyle w:val="FootnoteReference"/>
        </w:rPr>
        <w:footnoteReference w:id="42"/>
      </w:r>
    </w:p>
    <w:p w:rsidR="0029799F" w:rsidRDefault="0029799F">
      <w:pPr>
        <w:spacing w:line="480" w:lineRule="auto"/>
      </w:pPr>
      <w:r>
        <w:tab/>
        <w:t>For the rank and file workers, sabotage was not intended to lower the quality or safety of the vehicles they produced. It was simply a way to let off steam, get some relief from the hyper pace of the assembly line, or produce more repairs at the end of the line. As with other schmozzle tactics, the goal was to cost GMAD management money until they eased up on discipline, returned workers who had been laid off, and stopped overloading work onto particular  jobs. It was assumed that repairs made necessary by sabotage would be corrected before a vehicle was shipped to a dealer.</w:t>
      </w:r>
    </w:p>
    <w:p w:rsidR="0029799F" w:rsidRDefault="0029799F">
      <w:pPr>
        <w:spacing w:line="480" w:lineRule="auto"/>
      </w:pPr>
      <w:r>
        <w:tab/>
        <w:t>Of course, GMAD took an entirely different perspective. Management tended to view any effort, or lack of effort, that resulted in a job not getting properly performed as an example of “sabotage.” In fact, GMAD management used a rather legendary incident on the motor line as a prime example to the media of what they meant by “sabotage.” One day, at the height of the schmozzle, an engine proceeded down a sub-assembly line with workers adding parts, but not actually putting them together. At the end of the line, the result was a well organized collection of unassembled parts. The workers thought it was quite humorous, but GMAD charged “sabotage.”</w:t>
      </w:r>
      <w:r>
        <w:rPr>
          <w:rStyle w:val="FootnoteReference"/>
        </w:rPr>
        <w:footnoteReference w:id="43"/>
      </w:r>
      <w:r>
        <w:t xml:space="preserve"> In fact, this tactic probably could not be labeled sabotage because it did not involve damage to company property.  </w:t>
      </w:r>
      <w:r>
        <w:lastRenderedPageBreak/>
        <w:t>However, this distinction was not important to management. For GMAD, any intentional or unintentional disruption of production was suspicious.</w:t>
      </w:r>
    </w:p>
    <w:p w:rsidR="0029799F" w:rsidRDefault="0029799F">
      <w:pPr>
        <w:spacing w:line="480" w:lineRule="auto"/>
      </w:pPr>
      <w:r>
        <w:tab/>
        <w:t>This broad management interpretation of “sabotage” was coupled with a very selective punishment of “saboteurs.” During the entire schmozzle, only a few workers were ever charged with “sabotage.” In these few cases, union activists were often targeted. For example, one union militant was charged with “sabotage” when he was  accused of removing a knob from a machine. In his case before the Ohio Employment Commission, it was shown that there was no proof that he actually removed the knob. In fact, the knob was shown to serve no useful purpose on the machine.</w:t>
      </w:r>
      <w:r>
        <w:rPr>
          <w:rStyle w:val="FootnoteReference"/>
        </w:rPr>
        <w:footnoteReference w:id="44"/>
      </w:r>
      <w:r>
        <w:t xml:space="preserve">  Cases like this and the even more damaging belief that management, itself, was engaged in sabotage to discredit the union tarnished GMAD in the eyes of even more conservative workers. It did not turn conservative and moderate workers against the militants as GMAD had hoped. In fact, by publicly stigmatizing Lordstown workers with the charge of “sabotage,” GMAD actually created more hostility and anger toward management. </w:t>
      </w:r>
    </w:p>
    <w:p w:rsidR="0029799F" w:rsidRDefault="0029799F">
      <w:pPr>
        <w:spacing w:line="480" w:lineRule="auto"/>
      </w:pPr>
      <w:r>
        <w:tab/>
        <w:t xml:space="preserve">Workers knew from experience that sabotage was not a serious factor in the declining quality of the Vega and Chevy van. It was GMAD’s priorities. From the start, GMAD clearly intended to sacrifice a significant degree of vehicle quality and even safety to improve productivity. One of GMAD’s first acts was the elimination of over 100 inspectors, or about one fourth of the entire inspection force. Even more importantly, </w:t>
      </w:r>
    </w:p>
    <w:p w:rsidR="0029799F" w:rsidRDefault="0029799F">
      <w:pPr>
        <w:spacing w:line="480" w:lineRule="auto"/>
      </w:pPr>
      <w:r>
        <w:t xml:space="preserve">foremen began to routinely overrule inspectors and ship defective vehicles. When some inspectors began recording the serial numbers of defective vehicles that were being shipped, they were threatened with being fired if they continued the practice. Soon, </w:t>
      </w:r>
      <w:r>
        <w:lastRenderedPageBreak/>
        <w:t>inspectors cynically began referring to themselves as “junkmen.” One inspector expressed his frustration with the new management policy in these words, “I believe that a car should be shipped at the highest possible quality. I’ll do the best job I can so that a car is as good as I would want to buy. but it happens a lot of the time that I’m forced to buy off bad stuff, leaking master cylinders, bad seat belts, carburetors, leaking gas, suspension not on properly, bad neutral safety switches. I refused a lot, but the foreman shipped it. The idea that somebody could be killed in that car--talk about morality, that’s sick.”</w:t>
      </w:r>
      <w:r>
        <w:rPr>
          <w:rStyle w:val="FootnoteReference"/>
        </w:rPr>
        <w:footnoteReference w:id="45"/>
      </w:r>
    </w:p>
    <w:p w:rsidR="0029799F" w:rsidRDefault="0029799F">
      <w:pPr>
        <w:spacing w:line="480" w:lineRule="auto"/>
      </w:pPr>
      <w:r>
        <w:tab/>
        <w:t>The decline in inspection standards corresponded with a deterioration of quality in the process of production. Under the increased workloads on the line, assemblers were unable to keep up with the new pace, or quite often refused to do the added tasks as part of the schmozzle. This meant that a large number of vehicles were coming down the assembly line with missing parts, or parts that had not been fully or properly installed. In this context, sabotage had a relatively minor impact on the quality and safety of the vehicle.  As a moderate union supporter in the trim department recalled, “I wouldn’t want to do nothing on a car that would make it unsafe. I never saw any sabotage.... Sure there are so many cars that are unsafe. It’s not because of sabotage. It’s because they’re going so darn fast, the guys are trying to get their job done. Human error, that’s the thing.”</w:t>
      </w:r>
      <w:r>
        <w:rPr>
          <w:rStyle w:val="FootnoteReference"/>
        </w:rPr>
        <w:footnoteReference w:id="46"/>
      </w:r>
    </w:p>
    <w:p w:rsidR="0029799F" w:rsidRDefault="0029799F">
      <w:pPr>
        <w:spacing w:line="480" w:lineRule="auto"/>
      </w:pPr>
      <w:r>
        <w:tab/>
        <w:t xml:space="preserve">The reduction in quality was also caused by changes GMAD made in the actual techniques of production. A worker in the body shop recalled that he was forced to set his welder at a higher temperature with a wider gap to keep up with the pace of the line, “That is an important, crucial weld I make on the front frame. But there’s no way you can </w:t>
      </w:r>
      <w:r>
        <w:lastRenderedPageBreak/>
        <w:t>make a safe car the way I have to do it. The foreman says, ‘Put whatever you can on it.’”</w:t>
      </w:r>
      <w:r>
        <w:rPr>
          <w:rStyle w:val="FootnoteReference"/>
        </w:rPr>
        <w:footnoteReference w:id="47"/>
      </w:r>
      <w:r>
        <w:t xml:space="preserve"> In another well know case, a foreman, concerned with pushing production, told a trim worker to stop installing rubber plugs in the floors of Vegas. The plugs were designed to block exhaust fumes from entering the passenger compartment. Only after an entire family was asphyxiated did the foreman order a return to plugging the holes.</w:t>
      </w:r>
      <w:r>
        <w:rPr>
          <w:rStyle w:val="FootnoteReference"/>
        </w:rPr>
        <w:footnoteReference w:id="48"/>
      </w:r>
    </w:p>
    <w:p w:rsidR="0029799F" w:rsidRDefault="0029799F">
      <w:pPr>
        <w:spacing w:line="480" w:lineRule="auto"/>
      </w:pPr>
      <w:r>
        <w:tab/>
        <w:t>GMAD management’s charge of “sabotage,” at a time when they implemented a policy of cutting back on  product quality and safety, meant that a great many workers viewed the company as hypocritical. As one committeeman noted, “Quality is only something they put in TV ads. I don’t think they give a damn about it.”</w:t>
      </w:r>
      <w:r>
        <w:rPr>
          <w:rStyle w:val="FootnoteReference"/>
        </w:rPr>
        <w:footnoteReference w:id="49"/>
      </w:r>
      <w:r>
        <w:t xml:space="preserve"> It also made it very difficult for workers to take any pride in their job. A survey of Lordstown workers at the time found that 72% “almost always” and 22% “usually” tried to do a good job. The reasons given for doing a good job were: 37% concern for the consumer, 30% personal pride and only 20% responsibility to the company. The most common reasons given for not being able to do quality work were: nobody cared, management did not allow it, boredom and work overload.</w:t>
      </w:r>
      <w:r>
        <w:rPr>
          <w:rStyle w:val="FootnoteReference"/>
        </w:rPr>
        <w:footnoteReference w:id="50"/>
      </w:r>
      <w:r>
        <w:t xml:space="preserve"> One shop floor militant and union veteran in the trim department put the issue of pride in these words, “Up until now I thought we had a pretty good car. But since the speed-up ... it’s a shame to talk about your own product ... I used to have pride in the car, especially my job.”</w:t>
      </w:r>
      <w:r>
        <w:rPr>
          <w:rStyle w:val="FootnoteReference"/>
        </w:rPr>
        <w:footnoteReference w:id="51"/>
      </w:r>
    </w:p>
    <w:p w:rsidR="0029799F" w:rsidRDefault="0029799F">
      <w:pPr>
        <w:spacing w:line="480" w:lineRule="auto"/>
      </w:pPr>
      <w:r>
        <w:tab/>
        <w:t xml:space="preserve">Consequently, the issue of “sabotage” and vehicle quality and safety did not win more workers over to a management perspective, but rather intensified antagonism </w:t>
      </w:r>
      <w:r>
        <w:lastRenderedPageBreak/>
        <w:t xml:space="preserve">toward the company. GMAD’s reduction in quality standards also did not significantly undermine the union’s efforts to back up production through generating repairs. Thus, the question of “sabotage” did not decisively influence the course of the struggle between GMAD and the union. </w:t>
      </w:r>
    </w:p>
    <w:p w:rsidR="0029799F" w:rsidRDefault="0029799F">
      <w:pPr>
        <w:spacing w:line="480" w:lineRule="auto"/>
      </w:pPr>
      <w:r>
        <w:tab/>
        <w:t>From mid-December until the end of February, the company and union remained locked in a struggle with neither side gaining the upper hand. The schmozzle continued and GMAD kept administering “short weeks” in retaliation. By January, workers were often sent home after only 2-4 hours on the job. One worker, who was also a Kent State math student, remembered what it was like, “When we worked three hours and they cut the work short, there was clapping and cheering. It was the best time we had. There was a guy named Little John, who fucked up 40 cars in a row. Cars would come through with nothing on them.... Everybody wrote up [grievances on] every little thing...”</w:t>
      </w:r>
      <w:r>
        <w:rPr>
          <w:rStyle w:val="FootnoteReference"/>
        </w:rPr>
        <w:footnoteReference w:id="52"/>
      </w:r>
      <w:r>
        <w:t xml:space="preserve"> Increasingly, both sides looked to a strike to decide the war.  </w:t>
      </w:r>
    </w:p>
    <w:p w:rsidR="0029799F" w:rsidRDefault="0029799F">
      <w:pPr>
        <w:spacing w:line="480" w:lineRule="auto"/>
      </w:pPr>
      <w:r>
        <w:tab/>
        <w:t>In the second week in January, the company finally agreed to sit down to negotiations with the local. However, they often arrived as much as two hours late and refused to seriously discuss any important issues. After a week of this, the union filed charges of bargaining in bad faith against GMAD with the National Labor Relations Board. The local also issued a leaflet addressed to the ranks entitled, “What’s It All About?” and answered the question with these words, “</w:t>
      </w:r>
      <w:r>
        <w:rPr>
          <w:u w:val="single"/>
        </w:rPr>
        <w:t>Profits</w:t>
      </w:r>
      <w:r>
        <w:t xml:space="preserve">--The billions in profit that the General Motors Corporation makes comes out of the backs of the workers on the assembly lines. That’s why this profit hungry Corporation and their G.M. Assembly Division are trying to speed you up. The fewer people building the Vega and trucks, the  </w:t>
      </w:r>
      <w:r>
        <w:lastRenderedPageBreak/>
        <w:t>bigger the profit. G.M.A.D. doesn’t care about your working conditions. They have always put profits before human values, that’s why they have started a reign of terror in the Plants. Terror--Using Hitler’s method of terror G.M.A.D., through D.L.O., hopes to scare the people in the Plant into meeting their unfair standards.”</w:t>
      </w:r>
      <w:r>
        <w:rPr>
          <w:rStyle w:val="FootnoteReference"/>
        </w:rPr>
        <w:footnoteReference w:id="53"/>
      </w:r>
      <w:r>
        <w:t xml:space="preserve"> The leaflet went on to announce a strike vote and urged the ranks to continue to work at a “normal pace” and vote yes for a strike.</w:t>
      </w:r>
    </w:p>
    <w:p w:rsidR="0029799F" w:rsidRDefault="0029799F">
      <w:pPr>
        <w:spacing w:line="480" w:lineRule="auto"/>
      </w:pPr>
      <w:r>
        <w:tab/>
        <w:t xml:space="preserve">One day later, the plant manager responded with a letter informing the work force that anyone producing poor quality work, restricting output, refusing to perform job assignments or engaging in sabotage would be immediately discharged. Despite the acrimonious rhetoric, negotiations resumed, but little progress was made. </w:t>
      </w:r>
    </w:p>
    <w:p w:rsidR="0029799F" w:rsidRDefault="0029799F">
      <w:pPr>
        <w:spacing w:line="480" w:lineRule="auto"/>
      </w:pPr>
      <w:r>
        <w:rPr>
          <w:b/>
        </w:rPr>
        <w:t>The Strike: “Our first great step backward”</w:t>
      </w:r>
    </w:p>
    <w:p w:rsidR="0029799F" w:rsidRDefault="0029799F">
      <w:pPr>
        <w:spacing w:line="480" w:lineRule="auto"/>
      </w:pPr>
      <w:r>
        <w:tab/>
        <w:t>On February 1, 85% of the eligible workers voted at the plant gates to authorize a strike by a 6,556 to 197 margin. As local momentum built toward a strike, the international union stepped in to try and reach a last minute compromise. However, these efforts failed and the strike began after a four week delay on Friday, March 3. One worker remembered what it was like leaving the plant at the second shift on that day, “It was fairly quiet, but there were cops all over. Some people were yelling, ‘Strike!’ When we first walked off the line, everybody was sort of glad. We were tired of the mess. There was so much fight in them [workers] against management. The last couple of days were really bad.”</w:t>
      </w:r>
      <w:r>
        <w:rPr>
          <w:rStyle w:val="FootnoteReference"/>
        </w:rPr>
        <w:footnoteReference w:id="54"/>
      </w:r>
      <w:r>
        <w:t xml:space="preserve"> As workers filed out of the plant, an impromptu picket line was set up, which turned into a party that lasted until the next morning.</w:t>
      </w:r>
    </w:p>
    <w:p w:rsidR="0029799F" w:rsidRDefault="0029799F">
      <w:pPr>
        <w:spacing w:line="480" w:lineRule="auto"/>
      </w:pPr>
      <w:r>
        <w:lastRenderedPageBreak/>
        <w:t xml:space="preserve"> </w:t>
      </w:r>
      <w:r>
        <w:tab/>
        <w:t xml:space="preserve">Most workers expected a long strike and many workers with family obligations began seeking short-term jobs to tide them over. Some workers even made plans to return home to the coal fields of Pennsylvania or West Virginia. Anticipation of a long strike did not, however, mean that the union ranks expected a defeat. Having fought GMAD to a stand still in the schmozzle, the rank and file believed the union leadership should be in a strong position to deliver a victory. They anticipated not only the re-establishment of the conditions won under the old contracts, but new gains, particularly regarding plant-wide seniority. Even more important was the demand for a reversal of GMAD’s mass lay offs and discipline. The ranks wanted all personnel records cleared and all laid off workers brought back. </w:t>
      </w:r>
    </w:p>
    <w:p w:rsidR="0029799F" w:rsidRDefault="0029799F">
      <w:pPr>
        <w:spacing w:line="480" w:lineRule="auto"/>
      </w:pPr>
      <w:r>
        <w:tab/>
        <w:t>These high expectations were not matched by a high level of confidence in the union leadership. The local leadership had not fully backed the schmozzle and now seemed to be caving in to pressure from the international, first to delay the strike, and now to compromise in negotiations. Rank and file apprehension was fueled by a complete lack of information on the course of negotiations. No meetings were called and no leaflets were issued that let the ranks know what was going on.</w:t>
      </w:r>
    </w:p>
    <w:p w:rsidR="0029799F" w:rsidRDefault="0029799F">
      <w:pPr>
        <w:spacing w:line="480" w:lineRule="auto"/>
      </w:pPr>
      <w:r>
        <w:tab/>
        <w:t xml:space="preserve">Moreover, after the intense fourteen week schmozzle, the strike in many ways seemed anti-climactic. There wasn’t much to do but wait it out and see what the union came up with in negotiations. In keeping with post-World War II practice, GM did not attempt to run the plant with strikebreakers and only token union pickets were set up at the plant gates.  In fact, to qualify for the $30-$40 per week strike pay, the great majority of workers were not required to report for picket duty. Instead, most workers attended </w:t>
      </w:r>
      <w:r>
        <w:lastRenderedPageBreak/>
        <w:t>mandatory educational lectures on UAW history and politics that did not, however, provide any information on negotiations.</w:t>
      </w:r>
    </w:p>
    <w:p w:rsidR="0029799F" w:rsidRDefault="0029799F">
      <w:pPr>
        <w:spacing w:line="480" w:lineRule="auto"/>
      </w:pPr>
      <w:r>
        <w:tab/>
        <w:t xml:space="preserve">Suddenly after three weeks, a settlement is announced and a ratification meeting is called for Sunday, March 26th. The day before, workers began getting calls from foreman telling them to report back to the plant on Monday. That morning, the </w:t>
      </w:r>
      <w:r>
        <w:rPr>
          <w:u w:val="single"/>
        </w:rPr>
        <w:t>Youngstown Vindicator’s</w:t>
      </w:r>
      <w:r>
        <w:t xml:space="preserve"> front page headline was “End of GM Strike Helps Payrolls--Economy Outlook Brighter.”</w:t>
      </w:r>
      <w:r>
        <w:rPr>
          <w:rStyle w:val="FootnoteReference"/>
        </w:rPr>
        <w:footnoteReference w:id="55"/>
      </w:r>
      <w:r>
        <w:t xml:space="preserve"> The only problem with this management and media celebration of the end of the strike was that the union ranks still had to approve the new contract proposal before there would be any return to work.</w:t>
      </w:r>
    </w:p>
    <w:p w:rsidR="0029799F" w:rsidRDefault="0029799F">
      <w:pPr>
        <w:spacing w:line="480" w:lineRule="auto"/>
      </w:pPr>
      <w:r>
        <w:tab/>
        <w:t>On arriving at the ratification meeting, the union ranks were skeptical that any significant gains could be so easily won in such a short strike. Their skepticism was heightened when union officials discussed the end of picketing and a return to work even before the meeting began. As one loyal union member recalled, “... I was pretty upset. They told people we’d be going back to work whatever the vote because orders had already come from Detroit [UAW headquarters] that we were going back.”</w:t>
      </w:r>
      <w:r>
        <w:rPr>
          <w:rStyle w:val="FootnoteReference"/>
        </w:rPr>
        <w:footnoteReference w:id="56"/>
      </w:r>
      <w:r>
        <w:t xml:space="preserve"> No copies of the proposed contract were made available to the rank and file. The official meeting started off with three long speeches by a national UAW Vice President, a regional union director and the local President. All three speakers described the settlement as a “victory” and urged ratification, but provided no deals. The ensuing question and answer period was confused with the local president ruling many questions out of order and the shop committeemen providing only vague and possibly misleading answers. Just before balloting began, several workers asked for a separate ballot of skilled trades workers as </w:t>
      </w:r>
      <w:r>
        <w:lastRenderedPageBreak/>
        <w:t>guaranteed by the UAW Constitution. That request was denied. Workers were further surprised that as they voted no one requested a union card and there was no check off of membership lists as ballots were passed out. Balloting ended at 12:30 pm and the results were on the radio by 2 pm. The contract proposal had been narrowly ratified by a 54% margin with a vote of 1100 to 940.</w:t>
      </w:r>
      <w:r>
        <w:rPr>
          <w:rStyle w:val="FootnoteReference"/>
        </w:rPr>
        <w:footnoteReference w:id="57"/>
      </w:r>
    </w:p>
    <w:p w:rsidR="0029799F" w:rsidRDefault="0029799F">
      <w:pPr>
        <w:spacing w:line="480" w:lineRule="auto"/>
      </w:pPr>
      <w:r>
        <w:tab/>
        <w:t>In the wake of the settlement, many workers were angry at the undemocratic way in which it was ratified and believed that little was gained. As one moderate union supporter commented, “How do you know what you’re voting for when you can’t see it written up? For all I know the union is in cohoots with the company. Guys didn’t think we got a good settlement. The contract was basically the same. I heard 140 guys weren’t coming back. We should stay out till we take them all back. A guy pays union dues, he should get protection.”</w:t>
      </w:r>
      <w:r>
        <w:rPr>
          <w:rStyle w:val="FootnoteReference"/>
        </w:rPr>
        <w:footnoteReference w:id="58"/>
      </w:r>
      <w:r>
        <w:t xml:space="preserve"> A union militant put it more strongly, “They [the local leadership] got everybody worked up and then the workers have high expectations and it doesn’t come about, they turned a lot of people against them. It was a terrible settlement and the ratification vote was fixed. Their attitude was, ‘We got a settlement whether you like it or not.’”</w:t>
      </w:r>
      <w:r>
        <w:rPr>
          <w:rStyle w:val="FootnoteReference"/>
        </w:rPr>
        <w:footnoteReference w:id="59"/>
      </w:r>
    </w:p>
    <w:p w:rsidR="0029799F" w:rsidRDefault="0029799F">
      <w:pPr>
        <w:spacing w:line="480" w:lineRule="auto"/>
      </w:pPr>
      <w:r>
        <w:tab/>
        <w:t>As workers returned to their jobs, apprehension over the settlement increased as management seemed quite content with the agreement. One worker remembered that, the “foremen were walking around like kings.” A trim department union loyalist recalled that, “After the strike, the foreman said, ‘We put the union straight. They know what they have to do.’ It made everybody feel like we won nothing.”</w:t>
      </w:r>
      <w:r>
        <w:rPr>
          <w:rStyle w:val="FootnoteReference"/>
        </w:rPr>
        <w:footnoteReference w:id="60"/>
      </w:r>
      <w:r>
        <w:t xml:space="preserve"> Publicly, top level GMAD </w:t>
      </w:r>
      <w:r>
        <w:lastRenderedPageBreak/>
        <w:t>management expressed satisfaction with the new contract. Fred Townsend, a company public relations officer, declared that “... we can live with the agreement. The front office thinks it’s not too bad ...” The Lordstown plant personnel director, Victor Angelo, seconded that judgment. In his view, management had made “... some important gains. We salvaged something out of it ...”</w:t>
      </w:r>
      <w:r>
        <w:rPr>
          <w:rStyle w:val="FootnoteReference"/>
        </w:rPr>
        <w:footnoteReference w:id="61"/>
      </w:r>
    </w:p>
    <w:p w:rsidR="0029799F" w:rsidRDefault="0029799F">
      <w:pPr>
        <w:spacing w:line="480" w:lineRule="auto"/>
      </w:pPr>
      <w:r>
        <w:tab/>
        <w:t>Shortly after the strike, the details of the new contract became known to the union ranks. Approximately 200 of 400 of the laid off workers were to be brought back and 20 of 25 fired workers would return to their jobs. The union withdrew 800 grievances, but settled the great majority of the backlog of approximately 6,000 grievances. Unfortunately for most of the assemblers involved, the resolution of most Paragraph 78 work standards grievances meant a significant increase in work loads. Of the 1200 pending Disciplinary Lay Offs, three fourths were cleared with back pay. The local agreement, itself, provided for only a few minor improvements in seniority rights and other contract provisions.</w:t>
      </w:r>
      <w:r>
        <w:rPr>
          <w:rStyle w:val="FootnoteReference"/>
        </w:rPr>
        <w:footnoteReference w:id="62"/>
      </w:r>
      <w:r>
        <w:t xml:space="preserve">  Compared to other UAW-GMAD local agreements it was considered a moderately satisfactory contract, at least in the opinion of the international union. </w:t>
      </w:r>
    </w:p>
    <w:p w:rsidR="0029799F" w:rsidRDefault="0029799F">
      <w:pPr>
        <w:spacing w:line="480" w:lineRule="auto"/>
      </w:pPr>
      <w:r>
        <w:tab/>
        <w:t xml:space="preserve">However, to an increasing number of local union members, the settlement seemed like a defeat, particularly in the context of the preceding furious fourteen week schmozzle. A poll taken several weeks after the strike found that 59% of those questioned considered the strike a “failure,” while only 36% consider it a “success.” When asked how the strike could have been improved, the most frequent suggestions were, in order: greater militancy, more information, different tactics (such as striking earlier), improved </w:t>
      </w:r>
      <w:r>
        <w:lastRenderedPageBreak/>
        <w:t>leadership and strengthened solidarity.</w:t>
      </w:r>
      <w:r>
        <w:rPr>
          <w:rStyle w:val="FootnoteReference"/>
        </w:rPr>
        <w:footnoteReference w:id="63"/>
      </w:r>
      <w:r>
        <w:t xml:space="preserve"> One body shop committeeman estimated that support for the union declined from 80% to 60% in his department, “Some felt deceived. Some expected more than they got. They don’t like to be lied to.”</w:t>
      </w:r>
      <w:r>
        <w:rPr>
          <w:rStyle w:val="FootnoteReference"/>
        </w:rPr>
        <w:footnoteReference w:id="64"/>
      </w:r>
      <w:r>
        <w:t xml:space="preserve"> Another shop committeeman simply declared that the strike represented, “our first great step backward.”</w:t>
      </w:r>
      <w:r>
        <w:rPr>
          <w:rStyle w:val="FootnoteReference"/>
        </w:rPr>
        <w:footnoteReference w:id="65"/>
      </w:r>
    </w:p>
    <w:p w:rsidR="0029799F" w:rsidRDefault="0029799F">
      <w:pPr>
        <w:spacing w:line="480" w:lineRule="auto"/>
      </w:pPr>
      <w:r>
        <w:tab/>
        <w:t>An even greater indication of the impact of the strike was GMAD’s actions on the shop floor. All the old tactics of GMAD’s original productivity campaign were re-instituted with a vengeance: increased workloads, job eliminations, harsh discipline, harassment and close supervision. In other words, management went right back to the practices that had precipitated the conflict in the first place. One body shop worker recounted, “When we came back from the strike, they added work to us.... It’s a motherfucker now, 10 hours a day.... Now people are just pissed off. Sabotage happens every day.”</w:t>
      </w:r>
      <w:r>
        <w:rPr>
          <w:rStyle w:val="FootnoteReference"/>
        </w:rPr>
        <w:footnoteReference w:id="66"/>
      </w:r>
      <w:r>
        <w:t xml:space="preserve"> </w:t>
      </w:r>
    </w:p>
    <w:p w:rsidR="0029799F" w:rsidRDefault="0029799F">
      <w:pPr>
        <w:spacing w:line="480" w:lineRule="auto"/>
      </w:pPr>
      <w:r>
        <w:tab/>
        <w:t xml:space="preserve">General shop floor resistance did resume, but not on the same scale or at the intensity of the schmozzle. The behavior of the local’s leadership in the strike had demoralized the rank and file. They no longer believed that they could count on official or even unofficial support for shop floor actions against GMAD. As a trim department utility man put it, “This use to be the best union going. We got good treatment of grievances. We usually got what we wanted. The strike didn’t do a damn thing. I’d like to see the union like when I first came there. If your job was hard and you put in a 78, </w:t>
      </w:r>
      <w:r>
        <w:lastRenderedPageBreak/>
        <w:t>they’d take care of it. They were working for you. Now it would take months. They [the committeemen] would say, ‘Oh, you can do the job.’”</w:t>
      </w:r>
      <w:r>
        <w:rPr>
          <w:rStyle w:val="FootnoteReference"/>
        </w:rPr>
        <w:footnoteReference w:id="67"/>
      </w:r>
    </w:p>
    <w:p w:rsidR="0029799F" w:rsidRDefault="0029799F">
      <w:pPr>
        <w:spacing w:line="480" w:lineRule="auto"/>
      </w:pPr>
      <w:r>
        <w:tab/>
        <w:t>In July, when tensions in the truck plant exploded into a wildcat by 1000 workers, the local’s leadership actually hid out from the strikers. During the first night of the wildcat,  workers even ended up breaking into the union hall out of frustration with the lack of support from the local’s leadership. In a telling comment, the local president later noted that it was the first time in eleven wildcats that he hadn’t participated in the struggle. The rank and file were in many ways  on their own in their fight against GMAD’s productivity machine.</w:t>
      </w:r>
    </w:p>
    <w:p w:rsidR="0029799F" w:rsidRDefault="0029799F">
      <w:pPr>
        <w:spacing w:line="480" w:lineRule="auto"/>
      </w:pPr>
      <w:r>
        <w:rPr>
          <w:b/>
        </w:rPr>
        <w:t>Conclusion: Cultural Rebellion or Just Another Strike?</w:t>
      </w:r>
    </w:p>
    <w:p w:rsidR="0029799F" w:rsidRDefault="0029799F">
      <w:pPr>
        <w:spacing w:line="480" w:lineRule="auto"/>
      </w:pPr>
      <w:r>
        <w:tab/>
        <w:t>There are two basic interpretations of the significance of the Lordstown conflict. One school argues that it represented the beginnings of a new working class counter-culture, opposed to the “alienation” of factory life and dedicated to some as of yet undefined transformation of work.</w:t>
      </w:r>
      <w:r>
        <w:rPr>
          <w:rStyle w:val="FootnoteReference"/>
        </w:rPr>
        <w:footnoteReference w:id="68"/>
      </w:r>
      <w:r>
        <w:t xml:space="preserve"> All of the important academic studies of the strike were done in the 1970’s and take this position. Some of the more popular accounts of the time even extend this argument to claim Lordstown was about young workers rebelling not only against authority, but against technology, industrial organization or even work itself.</w:t>
      </w:r>
      <w:r>
        <w:rPr>
          <w:rStyle w:val="FootnoteReference"/>
        </w:rPr>
        <w:footnoteReference w:id="69"/>
      </w:r>
    </w:p>
    <w:p w:rsidR="0029799F" w:rsidRDefault="0029799F">
      <w:pPr>
        <w:spacing w:line="480" w:lineRule="auto"/>
      </w:pPr>
      <w:r>
        <w:lastRenderedPageBreak/>
        <w:tab/>
        <w:t>In retrospect, none of these perspectives have stood the test of time. There was no dawning of the age of Aquarius for the American factory worker. However, as all these studies point out, the Lordstown workers wee strongly affected by the Black liberation, anti-war, women’s, counter-culture and student movements of the time. While there were few direct links between the Lordstown struggle and these movements, the personal connections and indirect political influence was definitely felt in the plant. This impact should not be exaggerated, but it should also not be ignored, particularly when examining the other eight GMAD strikes of this time and the general working class militancy of the period.</w:t>
      </w:r>
    </w:p>
    <w:p w:rsidR="00EB044A" w:rsidRDefault="0029799F">
      <w:pPr>
        <w:spacing w:line="480" w:lineRule="auto"/>
      </w:pPr>
      <w:r>
        <w:tab/>
        <w:t>The second perspective on Lordstown contends that the conflict was nothing special, just another traditional union battle over working conditions and contract provisions.</w:t>
      </w:r>
      <w:r>
        <w:rPr>
          <w:rStyle w:val="FootnoteReference"/>
        </w:rPr>
        <w:footnoteReference w:id="70"/>
      </w:r>
      <w:r>
        <w:t xml:space="preserve"> </w:t>
      </w:r>
      <w:r w:rsidR="00EB044A">
        <w:t>The problem with this view is that it oversimplifies the conflict by denying the real links between Lordstown workers and the social movements of the time. This type of oversimplification can also led to incorrect conclusions such as the contention that the strike was a “success” for the union in the fight against GMAD.</w:t>
      </w:r>
    </w:p>
    <w:p w:rsidR="00EB044A" w:rsidRDefault="00EB044A">
      <w:pPr>
        <w:spacing w:line="480" w:lineRule="auto"/>
      </w:pPr>
      <w:r>
        <w:tab/>
        <w:t xml:space="preserve">One final note. While none of the tactics of the Lordstown workers were new or unique, the intensity of their employment may have generated the most important shop floor struggle since the CIO era. As an historical event, the Lordstown conflict is well worth studying to gain insights into the labor relations of the entire post-World War II period. Lordstown has often been used to refute the notion of the affluent, bought off American worker, who would tolerate almost any conditions on the job to bring home the </w:t>
      </w:r>
      <w:r>
        <w:lastRenderedPageBreak/>
        <w:t>bacon. However, Lordstown might represent more than just an anomaly. It could be that once an investigator of the working class of the 1950’s and 1960’s moves beyond the paycheck, he or she might find more than passive resignation inside the factory gate.</w:t>
      </w:r>
    </w:p>
    <w:p w:rsidR="00EB044A" w:rsidRDefault="00EB044A">
      <w:pPr>
        <w:spacing w:line="480" w:lineRule="auto"/>
      </w:pPr>
    </w:p>
    <w:p w:rsidR="00EB044A" w:rsidRDefault="00EB044A">
      <w:pPr>
        <w:spacing w:line="480" w:lineRule="auto"/>
      </w:pPr>
    </w:p>
    <w:p w:rsidR="00EB044A" w:rsidRDefault="00EB044A">
      <w:pPr>
        <w:spacing w:line="480" w:lineRule="auto"/>
      </w:pPr>
    </w:p>
    <w:p w:rsidR="00EB044A" w:rsidRDefault="00EB044A">
      <w:pPr>
        <w:spacing w:line="480" w:lineRule="auto"/>
      </w:pPr>
    </w:p>
    <w:p w:rsidR="00EB044A" w:rsidRDefault="00EB044A">
      <w:pPr>
        <w:spacing w:line="480" w:lineRule="auto"/>
      </w:pPr>
    </w:p>
    <w:p w:rsidR="00EB044A" w:rsidRDefault="00EB044A">
      <w:pPr>
        <w:spacing w:line="480" w:lineRule="auto"/>
      </w:pPr>
    </w:p>
    <w:p w:rsidR="00EB044A" w:rsidRDefault="00EB044A">
      <w:pPr>
        <w:spacing w:line="480" w:lineRule="auto"/>
      </w:pPr>
    </w:p>
    <w:sectPr w:rsidR="00EB044A">
      <w:headerReference w:type="even" r:id="rId7"/>
      <w:headerReference w:type="default" r:id="rId8"/>
      <w:endnotePr>
        <w:numFmt w:val="decimal"/>
      </w:endnotePr>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3701" w:rsidRDefault="009C3701">
      <w:r>
        <w:separator/>
      </w:r>
    </w:p>
  </w:endnote>
  <w:endnote w:type="continuationSeparator" w:id="0">
    <w:p w:rsidR="009C3701" w:rsidRDefault="009C3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roman"/>
    <w:pitch w:val="variable"/>
    <w:sig w:usb0="E0002AFF" w:usb1="C0007841"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3701" w:rsidRDefault="009C3701">
      <w:r>
        <w:separator/>
      </w:r>
    </w:p>
  </w:footnote>
  <w:footnote w:type="continuationSeparator" w:id="0">
    <w:p w:rsidR="009C3701" w:rsidRDefault="009C3701">
      <w:r>
        <w:continuationSeparator/>
      </w:r>
    </w:p>
  </w:footnote>
  <w:footnote w:id="1">
    <w:p w:rsidR="0029799F" w:rsidRDefault="0029799F">
      <w:pPr>
        <w:pStyle w:val="FootnoteText"/>
      </w:pPr>
      <w:r>
        <w:rPr>
          <w:rStyle w:val="FootnoteReference"/>
        </w:rPr>
        <w:footnoteRef/>
      </w:r>
      <w:r>
        <w:t xml:space="preserve"> David Moberg, “Rattling the Golden Chains: Conflict and Consciousness of Auto Workers” (Ph.D. diss., University of Chicago, 1978), 31-34.</w:t>
      </w:r>
    </w:p>
    <w:p w:rsidR="0029799F" w:rsidRDefault="0029799F">
      <w:pPr>
        <w:pStyle w:val="FootnoteText"/>
      </w:pPr>
      <w:r>
        <w:t xml:space="preserve"> Heather Ann Thompson, “Auto Workers, Dissent, and the UAW: Detroit and Lordstown” In </w:t>
      </w:r>
      <w:r>
        <w:rPr>
          <w:u w:val="single"/>
        </w:rPr>
        <w:t>Autowork</w:t>
      </w:r>
      <w:r>
        <w:t xml:space="preserve"> (Albany: State University of New York Press, 1995), 200.</w:t>
      </w:r>
    </w:p>
    <w:p w:rsidR="0029799F" w:rsidRDefault="0029799F">
      <w:pPr>
        <w:rPr>
          <w:sz w:val="20"/>
        </w:rPr>
      </w:pPr>
      <w:r>
        <w:rPr>
          <w:sz w:val="20"/>
        </w:rPr>
        <w:t xml:space="preserve"> Emma Rothschild, “GM in More Trouble” </w:t>
      </w:r>
      <w:r>
        <w:rPr>
          <w:sz w:val="20"/>
          <w:u w:val="single"/>
        </w:rPr>
        <w:t>The New York Review of Books</w:t>
      </w:r>
      <w:r>
        <w:rPr>
          <w:sz w:val="20"/>
        </w:rPr>
        <w:t>, 23 March 1972, 18-19.</w:t>
      </w:r>
    </w:p>
    <w:p w:rsidR="0029799F" w:rsidRDefault="0029799F">
      <w:pPr>
        <w:rPr>
          <w:sz w:val="20"/>
        </w:rPr>
      </w:pPr>
      <w:r>
        <w:rPr>
          <w:sz w:val="20"/>
        </w:rPr>
        <w:t xml:space="preserve">Emma Rothschild, </w:t>
      </w:r>
      <w:r>
        <w:rPr>
          <w:sz w:val="20"/>
          <w:u w:val="single"/>
        </w:rPr>
        <w:t>Paradise Lost: The Decline of the Auto-Industrial Age</w:t>
      </w:r>
      <w:r>
        <w:rPr>
          <w:sz w:val="20"/>
        </w:rPr>
        <w:t xml:space="preserve">  (New York:   Random House,</w:t>
      </w:r>
    </w:p>
    <w:p w:rsidR="0029799F" w:rsidRDefault="0029799F">
      <w:pPr>
        <w:rPr>
          <w:sz w:val="20"/>
        </w:rPr>
      </w:pPr>
      <w:r>
        <w:rPr>
          <w:sz w:val="20"/>
        </w:rPr>
        <w:t xml:space="preserve"> 1973), 100-102.</w:t>
      </w:r>
    </w:p>
    <w:p w:rsidR="0029799F" w:rsidRDefault="0029799F">
      <w:pPr>
        <w:pStyle w:val="FootnoteText"/>
      </w:pPr>
      <w:r>
        <w:t>Wall Street Journal, 15 January 1971, 1.</w:t>
      </w:r>
    </w:p>
  </w:footnote>
  <w:footnote w:id="2">
    <w:p w:rsidR="0029799F" w:rsidRDefault="0029799F">
      <w:pPr>
        <w:pStyle w:val="FootnoteText"/>
      </w:pPr>
      <w:r>
        <w:rPr>
          <w:rStyle w:val="FootnoteReference"/>
        </w:rPr>
        <w:footnoteRef/>
      </w:r>
      <w:r>
        <w:t xml:space="preserve"> Newsweek, 25 March 1972, 65.</w:t>
      </w:r>
    </w:p>
  </w:footnote>
  <w:footnote w:id="3">
    <w:p w:rsidR="0029799F" w:rsidRDefault="0029799F">
      <w:pPr>
        <w:pStyle w:val="FootnoteText"/>
      </w:pPr>
      <w:r>
        <w:rPr>
          <w:rStyle w:val="FootnoteReference"/>
        </w:rPr>
        <w:footnoteRef/>
      </w:r>
      <w:r>
        <w:t xml:space="preserve"> New York Times, 16 April 1972, 1.</w:t>
      </w:r>
    </w:p>
  </w:footnote>
  <w:footnote w:id="4">
    <w:p w:rsidR="0029799F" w:rsidRDefault="0029799F">
      <w:pPr>
        <w:pStyle w:val="FootnoteText"/>
      </w:pPr>
      <w:r>
        <w:rPr>
          <w:rStyle w:val="FootnoteReference"/>
        </w:rPr>
        <w:footnoteRef/>
      </w:r>
      <w:r>
        <w:t xml:space="preserve"> Moberg, 43, 248 and 382.</w:t>
      </w:r>
    </w:p>
  </w:footnote>
  <w:footnote w:id="5">
    <w:p w:rsidR="0029799F" w:rsidRDefault="0029799F">
      <w:pPr>
        <w:pStyle w:val="FootnoteText"/>
      </w:pPr>
      <w:r>
        <w:rPr>
          <w:rStyle w:val="FootnoteReference"/>
        </w:rPr>
        <w:footnoteRef/>
      </w:r>
      <w:r>
        <w:t xml:space="preserve"> Rothschild, “Trouble”, 18-19.</w:t>
      </w:r>
    </w:p>
  </w:footnote>
  <w:footnote w:id="6">
    <w:p w:rsidR="0029799F" w:rsidRDefault="0029799F">
      <w:pPr>
        <w:pStyle w:val="FootnoteText"/>
      </w:pPr>
      <w:r>
        <w:rPr>
          <w:rStyle w:val="FootnoteReference"/>
        </w:rPr>
        <w:footnoteRef/>
      </w:r>
      <w:r>
        <w:t xml:space="preserve"> Harold Liller, Interview by Robin Schuler, 14 February 1981. Transcript. Oral History </w:t>
      </w:r>
      <w:r>
        <w:tab/>
        <w:t>Program, Youngstown State University, 17.</w:t>
      </w:r>
    </w:p>
  </w:footnote>
  <w:footnote w:id="7">
    <w:p w:rsidR="0029799F" w:rsidRDefault="0029799F">
      <w:pPr>
        <w:pStyle w:val="FootnoteText"/>
      </w:pPr>
      <w:r>
        <w:rPr>
          <w:rStyle w:val="FootnoteReference"/>
        </w:rPr>
        <w:footnoteRef/>
      </w:r>
      <w:r>
        <w:t xml:space="preserve"> Moberg, 275.</w:t>
      </w:r>
    </w:p>
  </w:footnote>
  <w:footnote w:id="8">
    <w:p w:rsidR="0029799F" w:rsidRDefault="0029799F">
      <w:pPr>
        <w:pStyle w:val="FootnoteText"/>
      </w:pPr>
      <w:r>
        <w:rPr>
          <w:rStyle w:val="FootnoteReference"/>
        </w:rPr>
        <w:footnoteRef/>
      </w:r>
      <w:r>
        <w:t xml:space="preserve"> Founders of the Black caucus originally thought Du Du Ujama meant “Black unity” in Swahili. One of the caucus leaders later learned that Du Du meant “insect.” However, the caucus decided to retain the name feeling that their position at GM was like being an ant trying to organize underground. Ibid., 151.</w:t>
      </w:r>
    </w:p>
  </w:footnote>
  <w:footnote w:id="9">
    <w:p w:rsidR="0029799F" w:rsidRDefault="0029799F">
      <w:pPr>
        <w:pStyle w:val="FootnoteText"/>
      </w:pPr>
      <w:r>
        <w:rPr>
          <w:rStyle w:val="FootnoteReference"/>
        </w:rPr>
        <w:footnoteRef/>
      </w:r>
      <w:r>
        <w:t xml:space="preserve"> Ibid., 160-161.</w:t>
      </w:r>
    </w:p>
  </w:footnote>
  <w:footnote w:id="10">
    <w:p w:rsidR="0029799F" w:rsidRDefault="0029799F">
      <w:pPr>
        <w:pStyle w:val="FootnoteText"/>
      </w:pPr>
      <w:r>
        <w:rPr>
          <w:rStyle w:val="FootnoteReference"/>
        </w:rPr>
        <w:footnoteRef/>
      </w:r>
      <w:r>
        <w:t xml:space="preserve"> Ibid., 209.</w:t>
      </w:r>
    </w:p>
  </w:footnote>
  <w:footnote w:id="11">
    <w:p w:rsidR="0029799F" w:rsidRDefault="0029799F">
      <w:pPr>
        <w:pStyle w:val="FootnoteText"/>
      </w:pPr>
      <w:r>
        <w:rPr>
          <w:rStyle w:val="FootnoteReference"/>
        </w:rPr>
        <w:footnoteRef/>
      </w:r>
      <w:r>
        <w:t xml:space="preserve"> For one union committeeman, this state of “chaos” was a better union strategy than an organized plant-wide opposition to GMAD’s offensive. Ibid., 173.</w:t>
      </w:r>
    </w:p>
  </w:footnote>
  <w:footnote w:id="12">
    <w:p w:rsidR="0029799F" w:rsidRDefault="0029799F">
      <w:pPr>
        <w:pStyle w:val="FootnoteText"/>
      </w:pPr>
      <w:r>
        <w:rPr>
          <w:rStyle w:val="FootnoteReference"/>
        </w:rPr>
        <w:footnoteRef/>
      </w:r>
      <w:r>
        <w:t xml:space="preserve"> Ibid., 173.</w:t>
      </w:r>
    </w:p>
  </w:footnote>
  <w:footnote w:id="13">
    <w:p w:rsidR="0029799F" w:rsidRDefault="0029799F">
      <w:pPr>
        <w:pStyle w:val="FootnoteText"/>
      </w:pPr>
      <w:r>
        <w:rPr>
          <w:rStyle w:val="FootnoteReference"/>
        </w:rPr>
        <w:footnoteRef/>
      </w:r>
      <w:r>
        <w:t xml:space="preserve"> Ibid., 337.</w:t>
      </w:r>
    </w:p>
  </w:footnote>
  <w:footnote w:id="14">
    <w:p w:rsidR="0029799F" w:rsidRDefault="0029799F">
      <w:pPr>
        <w:pStyle w:val="FootnoteText"/>
      </w:pPr>
      <w:r>
        <w:rPr>
          <w:rStyle w:val="FootnoteReference"/>
        </w:rPr>
        <w:footnoteRef/>
      </w:r>
      <w:r>
        <w:t xml:space="preserve"> Ibid., 341.</w:t>
      </w:r>
    </w:p>
  </w:footnote>
  <w:footnote w:id="15">
    <w:p w:rsidR="0029799F" w:rsidRDefault="0029799F">
      <w:pPr>
        <w:pStyle w:val="FootnoteText"/>
      </w:pPr>
      <w:r>
        <w:rPr>
          <w:rStyle w:val="FootnoteReference"/>
        </w:rPr>
        <w:footnoteRef/>
      </w:r>
      <w:r>
        <w:t xml:space="preserve"> Ibid., 167.</w:t>
      </w:r>
    </w:p>
  </w:footnote>
  <w:footnote w:id="16">
    <w:p w:rsidR="0029799F" w:rsidRDefault="0029799F">
      <w:pPr>
        <w:pStyle w:val="FootnoteText"/>
      </w:pPr>
      <w:r>
        <w:rPr>
          <w:rStyle w:val="FootnoteReference"/>
        </w:rPr>
        <w:footnoteRef/>
      </w:r>
      <w:r>
        <w:t xml:space="preserve"> Ibid., 226.</w:t>
      </w:r>
    </w:p>
  </w:footnote>
  <w:footnote w:id="17">
    <w:p w:rsidR="0029799F" w:rsidRDefault="0029799F">
      <w:pPr>
        <w:pStyle w:val="FootnoteText"/>
      </w:pPr>
      <w:r>
        <w:rPr>
          <w:rStyle w:val="FootnoteReference"/>
        </w:rPr>
        <w:footnoteRef/>
      </w:r>
      <w:r>
        <w:t xml:space="preserve"> Ibid., 183.</w:t>
      </w:r>
    </w:p>
  </w:footnote>
  <w:footnote w:id="18">
    <w:p w:rsidR="0029799F" w:rsidRDefault="0029799F">
      <w:pPr>
        <w:pStyle w:val="FootnoteText"/>
      </w:pPr>
      <w:r>
        <w:rPr>
          <w:rStyle w:val="FootnoteReference"/>
        </w:rPr>
        <w:footnoteRef/>
      </w:r>
      <w:r>
        <w:t xml:space="preserve"> Ibid., 157.</w:t>
      </w:r>
    </w:p>
  </w:footnote>
  <w:footnote w:id="19">
    <w:p w:rsidR="0029799F" w:rsidRDefault="0029799F">
      <w:pPr>
        <w:pStyle w:val="FootnoteText"/>
      </w:pPr>
      <w:r>
        <w:rPr>
          <w:rStyle w:val="FootnoteReference"/>
        </w:rPr>
        <w:footnoteRef/>
      </w:r>
      <w:r>
        <w:t xml:space="preserve"> Geoffrey Norman, “Blue-Collar Saboteurs,” </w:t>
      </w:r>
      <w:r>
        <w:rPr>
          <w:u w:val="single"/>
        </w:rPr>
        <w:t>Playboy</w:t>
      </w:r>
      <w:r>
        <w:t>, September 1972, 252.</w:t>
      </w:r>
    </w:p>
    <w:p w:rsidR="0029799F" w:rsidRDefault="0029799F">
      <w:pPr>
        <w:pStyle w:val="FootnoteText"/>
      </w:pPr>
      <w:r>
        <w:t xml:space="preserve"> Ken Weller, </w:t>
      </w:r>
      <w:r>
        <w:rPr>
          <w:u w:val="single"/>
        </w:rPr>
        <w:t>The Lordstown Struggle and the Real Crisis in Production</w:t>
      </w:r>
      <w:r>
        <w:t>, London, 1974?, 9.</w:t>
      </w:r>
    </w:p>
  </w:footnote>
  <w:footnote w:id="20">
    <w:p w:rsidR="0029799F" w:rsidRDefault="0029799F">
      <w:pPr>
        <w:pStyle w:val="FootnoteText"/>
      </w:pPr>
      <w:r>
        <w:rPr>
          <w:rStyle w:val="FootnoteReference"/>
        </w:rPr>
        <w:footnoteRef/>
      </w:r>
      <w:r>
        <w:t xml:space="preserve"> Moberg, 435.</w:t>
      </w:r>
    </w:p>
  </w:footnote>
  <w:footnote w:id="21">
    <w:p w:rsidR="0029799F" w:rsidRDefault="0029799F">
      <w:pPr>
        <w:pStyle w:val="FootnoteText"/>
      </w:pPr>
      <w:r>
        <w:rPr>
          <w:rStyle w:val="FootnoteReference"/>
        </w:rPr>
        <w:footnoteRef/>
      </w:r>
      <w:r>
        <w:t xml:space="preserve"> Ibid., 181-182, 235, 241 and 281.</w:t>
      </w:r>
    </w:p>
  </w:footnote>
  <w:footnote w:id="22">
    <w:p w:rsidR="0029799F" w:rsidRDefault="0029799F">
      <w:pPr>
        <w:pStyle w:val="FootnoteText"/>
      </w:pPr>
      <w:r>
        <w:rPr>
          <w:rStyle w:val="FootnoteReference"/>
        </w:rPr>
        <w:footnoteRef/>
      </w:r>
      <w:r>
        <w:t xml:space="preserve"> Ibid., 278.</w:t>
      </w:r>
    </w:p>
  </w:footnote>
  <w:footnote w:id="23">
    <w:p w:rsidR="0029799F" w:rsidRDefault="0029799F">
      <w:pPr>
        <w:pStyle w:val="FootnoteText"/>
      </w:pPr>
      <w:r>
        <w:rPr>
          <w:rStyle w:val="FootnoteReference"/>
        </w:rPr>
        <w:footnoteRef/>
      </w:r>
      <w:r>
        <w:t xml:space="preserve"> Ibid., 245.</w:t>
      </w:r>
    </w:p>
  </w:footnote>
  <w:footnote w:id="24">
    <w:p w:rsidR="0029799F" w:rsidRDefault="0029799F">
      <w:pPr>
        <w:pStyle w:val="FootnoteText"/>
      </w:pPr>
      <w:r>
        <w:rPr>
          <w:rStyle w:val="FootnoteReference"/>
        </w:rPr>
        <w:footnoteRef/>
      </w:r>
      <w:r>
        <w:t xml:space="preserve"> Ibid., 201.</w:t>
      </w:r>
    </w:p>
  </w:footnote>
  <w:footnote w:id="25">
    <w:p w:rsidR="0029799F" w:rsidRDefault="0029799F">
      <w:pPr>
        <w:pStyle w:val="FootnoteText"/>
      </w:pPr>
      <w:r>
        <w:rPr>
          <w:rStyle w:val="FootnoteReference"/>
        </w:rPr>
        <w:footnoteRef/>
      </w:r>
      <w:r>
        <w:t xml:space="preserve"> Ibid., 276.</w:t>
      </w:r>
    </w:p>
  </w:footnote>
  <w:footnote w:id="26">
    <w:p w:rsidR="0029799F" w:rsidRDefault="0029799F">
      <w:pPr>
        <w:pStyle w:val="FootnoteText"/>
      </w:pPr>
      <w:r>
        <w:rPr>
          <w:rStyle w:val="FootnoteReference"/>
        </w:rPr>
        <w:footnoteRef/>
      </w:r>
      <w:r>
        <w:t xml:space="preserve"> Ibid., 170 and  243.</w:t>
      </w:r>
    </w:p>
  </w:footnote>
  <w:footnote w:id="27">
    <w:p w:rsidR="0029799F" w:rsidRDefault="0029799F">
      <w:pPr>
        <w:pStyle w:val="FootnoteText"/>
      </w:pPr>
      <w:r>
        <w:rPr>
          <w:rStyle w:val="FootnoteReference"/>
        </w:rPr>
        <w:footnoteRef/>
      </w:r>
      <w:r>
        <w:t xml:space="preserve"> </w:t>
      </w:r>
      <w:r>
        <w:rPr>
          <w:u w:val="single"/>
        </w:rPr>
        <w:t>See Hear</w:t>
      </w:r>
      <w:r>
        <w:t>, November 1971, 173-4, 222 and 244.</w:t>
      </w:r>
    </w:p>
  </w:footnote>
  <w:footnote w:id="28">
    <w:p w:rsidR="0029799F" w:rsidRDefault="0029799F">
      <w:pPr>
        <w:pStyle w:val="FootnoteText"/>
      </w:pPr>
      <w:r>
        <w:rPr>
          <w:rStyle w:val="FootnoteReference"/>
        </w:rPr>
        <w:footnoteRef/>
      </w:r>
      <w:r>
        <w:t xml:space="preserve"> Moberg, 462.</w:t>
      </w:r>
    </w:p>
  </w:footnote>
  <w:footnote w:id="29">
    <w:p w:rsidR="0029799F" w:rsidRDefault="0029799F">
      <w:pPr>
        <w:pStyle w:val="FootnoteText"/>
      </w:pPr>
      <w:r>
        <w:rPr>
          <w:rStyle w:val="FootnoteReference"/>
        </w:rPr>
        <w:footnoteRef/>
      </w:r>
      <w:r>
        <w:t xml:space="preserve"> The exact origin of this term is not known.</w:t>
      </w:r>
    </w:p>
  </w:footnote>
  <w:footnote w:id="30">
    <w:p w:rsidR="0029799F" w:rsidRDefault="0029799F">
      <w:pPr>
        <w:pStyle w:val="FootnoteText"/>
      </w:pPr>
      <w:r>
        <w:rPr>
          <w:rStyle w:val="FootnoteReference"/>
        </w:rPr>
        <w:footnoteRef/>
      </w:r>
      <w:r>
        <w:t xml:space="preserve"> Moberb, 336 and 553.</w:t>
      </w:r>
    </w:p>
  </w:footnote>
  <w:footnote w:id="31">
    <w:p w:rsidR="0029799F" w:rsidRDefault="0029799F">
      <w:pPr>
        <w:pStyle w:val="FootnoteText"/>
      </w:pPr>
      <w:r>
        <w:rPr>
          <w:rStyle w:val="FootnoteReference"/>
        </w:rPr>
        <w:footnoteRef/>
      </w:r>
      <w:r>
        <w:t xml:space="preserve"> Ibid., 172-175, 213 and 336.</w:t>
      </w:r>
    </w:p>
  </w:footnote>
  <w:footnote w:id="32">
    <w:p w:rsidR="0029799F" w:rsidRDefault="0029799F">
      <w:pPr>
        <w:pStyle w:val="FootnoteText"/>
      </w:pPr>
      <w:r>
        <w:rPr>
          <w:rStyle w:val="FootnoteReference"/>
        </w:rPr>
        <w:footnoteRef/>
      </w:r>
      <w:r>
        <w:t xml:space="preserve"> Ibid., 215.</w:t>
      </w:r>
    </w:p>
  </w:footnote>
  <w:footnote w:id="33">
    <w:p w:rsidR="0029799F" w:rsidRDefault="0029799F">
      <w:pPr>
        <w:pStyle w:val="FootnoteText"/>
      </w:pPr>
      <w:r>
        <w:rPr>
          <w:rStyle w:val="FootnoteReference"/>
        </w:rPr>
        <w:footnoteRef/>
      </w:r>
      <w:r>
        <w:t xml:space="preserve"> Ibid., 230.</w:t>
      </w:r>
    </w:p>
  </w:footnote>
  <w:footnote w:id="34">
    <w:p w:rsidR="0029799F" w:rsidRDefault="0029799F">
      <w:pPr>
        <w:pStyle w:val="FootnoteText"/>
      </w:pPr>
      <w:r>
        <w:rPr>
          <w:rStyle w:val="FootnoteReference"/>
        </w:rPr>
        <w:footnoteRef/>
      </w:r>
      <w:r>
        <w:t xml:space="preserve"> Ibid., 213.</w:t>
      </w:r>
    </w:p>
  </w:footnote>
  <w:footnote w:id="35">
    <w:p w:rsidR="0029799F" w:rsidRDefault="0029799F">
      <w:pPr>
        <w:pStyle w:val="FootnoteText"/>
      </w:pPr>
      <w:r>
        <w:rPr>
          <w:rStyle w:val="FootnoteReference"/>
        </w:rPr>
        <w:footnoteRef/>
      </w:r>
      <w:r>
        <w:t xml:space="preserve"> Ibid., 240-241.</w:t>
      </w:r>
    </w:p>
  </w:footnote>
  <w:footnote w:id="36">
    <w:p w:rsidR="0029799F" w:rsidRDefault="0029799F">
      <w:pPr>
        <w:pStyle w:val="FootnoteText"/>
      </w:pPr>
      <w:r>
        <w:rPr>
          <w:rStyle w:val="FootnoteReference"/>
        </w:rPr>
        <w:footnoteRef/>
      </w:r>
      <w:r>
        <w:t xml:space="preserve"> Ibid., 177.</w:t>
      </w:r>
    </w:p>
  </w:footnote>
  <w:footnote w:id="37">
    <w:p w:rsidR="0029799F" w:rsidRDefault="0029799F">
      <w:pPr>
        <w:pStyle w:val="FootnoteText"/>
      </w:pPr>
      <w:r>
        <w:rPr>
          <w:rStyle w:val="FootnoteReference"/>
        </w:rPr>
        <w:footnoteRef/>
      </w:r>
      <w:r>
        <w:t xml:space="preserve"> Ibid., 189.</w:t>
      </w:r>
    </w:p>
  </w:footnote>
  <w:footnote w:id="38">
    <w:p w:rsidR="0029799F" w:rsidRDefault="0029799F">
      <w:pPr>
        <w:pStyle w:val="FootnoteText"/>
      </w:pPr>
      <w:r>
        <w:rPr>
          <w:rStyle w:val="FootnoteReference"/>
        </w:rPr>
        <w:footnoteRef/>
      </w:r>
      <w:r>
        <w:t xml:space="preserve"> Thompson has a different view of the role of the local’s leadership contending that they “clearly supported the militancy on their shop floor and they had every intention of backing a strike.” Thompson, 204. Moberg, 102.</w:t>
      </w:r>
    </w:p>
  </w:footnote>
  <w:footnote w:id="39">
    <w:p w:rsidR="0029799F" w:rsidRDefault="0029799F">
      <w:pPr>
        <w:pStyle w:val="FootnoteText"/>
      </w:pPr>
      <w:r>
        <w:rPr>
          <w:rStyle w:val="FootnoteReference"/>
        </w:rPr>
        <w:footnoteRef/>
      </w:r>
      <w:r>
        <w:t xml:space="preserve"> Moberg, 171, 187 and 209.</w:t>
      </w:r>
    </w:p>
  </w:footnote>
  <w:footnote w:id="40">
    <w:p w:rsidR="0029799F" w:rsidRDefault="0029799F">
      <w:pPr>
        <w:pStyle w:val="FootnoteText"/>
      </w:pPr>
      <w:r>
        <w:rPr>
          <w:rStyle w:val="FootnoteReference"/>
        </w:rPr>
        <w:footnoteRef/>
      </w:r>
      <w:r>
        <w:t xml:space="preserve"> Ibid., 213.</w:t>
      </w:r>
    </w:p>
  </w:footnote>
  <w:footnote w:id="41">
    <w:p w:rsidR="0029799F" w:rsidRDefault="0029799F">
      <w:pPr>
        <w:pStyle w:val="FootnoteText"/>
      </w:pPr>
      <w:r>
        <w:rPr>
          <w:rStyle w:val="FootnoteReference"/>
        </w:rPr>
        <w:footnoteRef/>
      </w:r>
      <w:r>
        <w:t xml:space="preserve"> Ibid., 173.</w:t>
      </w:r>
    </w:p>
  </w:footnote>
  <w:footnote w:id="42">
    <w:p w:rsidR="0029799F" w:rsidRDefault="0029799F">
      <w:pPr>
        <w:pStyle w:val="FootnoteText"/>
      </w:pPr>
      <w:r>
        <w:rPr>
          <w:rStyle w:val="FootnoteReference"/>
        </w:rPr>
        <w:footnoteRef/>
      </w:r>
      <w:r>
        <w:t xml:space="preserve"> Norman, 250.</w:t>
      </w:r>
    </w:p>
  </w:footnote>
  <w:footnote w:id="43">
    <w:p w:rsidR="0029799F" w:rsidRDefault="0029799F">
      <w:pPr>
        <w:pStyle w:val="FootnoteText"/>
      </w:pPr>
      <w:r>
        <w:rPr>
          <w:rStyle w:val="FootnoteReference"/>
        </w:rPr>
        <w:footnoteRef/>
      </w:r>
      <w:r>
        <w:t xml:space="preserve"> Ibid., 104.</w:t>
      </w:r>
    </w:p>
  </w:footnote>
  <w:footnote w:id="44">
    <w:p w:rsidR="0029799F" w:rsidRDefault="0029799F">
      <w:pPr>
        <w:pStyle w:val="FootnoteText"/>
      </w:pPr>
      <w:r>
        <w:rPr>
          <w:rStyle w:val="FootnoteReference"/>
        </w:rPr>
        <w:footnoteRef/>
      </w:r>
      <w:r>
        <w:t xml:space="preserve"> Moberg, 230.</w:t>
      </w:r>
    </w:p>
  </w:footnote>
  <w:footnote w:id="45">
    <w:p w:rsidR="0029799F" w:rsidRDefault="0029799F">
      <w:pPr>
        <w:pStyle w:val="FootnoteText"/>
      </w:pPr>
      <w:r>
        <w:rPr>
          <w:rStyle w:val="FootnoteReference"/>
        </w:rPr>
        <w:footnoteRef/>
      </w:r>
      <w:r>
        <w:t xml:space="preserve"> Ibid., 486.</w:t>
      </w:r>
    </w:p>
  </w:footnote>
  <w:footnote w:id="46">
    <w:p w:rsidR="0029799F" w:rsidRDefault="0029799F">
      <w:pPr>
        <w:pStyle w:val="FootnoteText"/>
      </w:pPr>
      <w:r>
        <w:rPr>
          <w:rStyle w:val="FootnoteReference"/>
        </w:rPr>
        <w:footnoteRef/>
      </w:r>
      <w:r>
        <w:t xml:space="preserve"> Ibid., 176.</w:t>
      </w:r>
    </w:p>
  </w:footnote>
  <w:footnote w:id="47">
    <w:p w:rsidR="0029799F" w:rsidRDefault="0029799F">
      <w:pPr>
        <w:pStyle w:val="FootnoteText"/>
      </w:pPr>
      <w:r>
        <w:rPr>
          <w:rStyle w:val="FootnoteReference"/>
        </w:rPr>
        <w:footnoteRef/>
      </w:r>
      <w:r>
        <w:t xml:space="preserve"> Ibid., 478.</w:t>
      </w:r>
    </w:p>
  </w:footnote>
  <w:footnote w:id="48">
    <w:p w:rsidR="0029799F" w:rsidRDefault="0029799F">
      <w:pPr>
        <w:pStyle w:val="FootnoteText"/>
      </w:pPr>
      <w:r>
        <w:rPr>
          <w:rStyle w:val="FootnoteReference"/>
        </w:rPr>
        <w:footnoteRef/>
      </w:r>
      <w:r>
        <w:t xml:space="preserve"> Ibid., 420.</w:t>
      </w:r>
    </w:p>
  </w:footnote>
  <w:footnote w:id="49">
    <w:p w:rsidR="0029799F" w:rsidRDefault="0029799F">
      <w:pPr>
        <w:pStyle w:val="FootnoteText"/>
      </w:pPr>
      <w:r>
        <w:rPr>
          <w:rStyle w:val="FootnoteReference"/>
        </w:rPr>
        <w:footnoteRef/>
      </w:r>
      <w:r>
        <w:t xml:space="preserve"> Ibid., 489.</w:t>
      </w:r>
    </w:p>
  </w:footnote>
  <w:footnote w:id="50">
    <w:p w:rsidR="0029799F" w:rsidRDefault="0029799F">
      <w:pPr>
        <w:pStyle w:val="FootnoteText"/>
      </w:pPr>
      <w:r>
        <w:rPr>
          <w:rStyle w:val="FootnoteReference"/>
        </w:rPr>
        <w:footnoteRef/>
      </w:r>
      <w:r>
        <w:t xml:space="preserve"> Ibid., 261.</w:t>
      </w:r>
    </w:p>
  </w:footnote>
  <w:footnote w:id="51">
    <w:p w:rsidR="0029799F" w:rsidRDefault="0029799F">
      <w:pPr>
        <w:pStyle w:val="FootnoteText"/>
      </w:pPr>
      <w:r>
        <w:rPr>
          <w:rStyle w:val="FootnoteReference"/>
        </w:rPr>
        <w:footnoteRef/>
      </w:r>
      <w:r>
        <w:t xml:space="preserve"> Ibid., 227.</w:t>
      </w:r>
    </w:p>
  </w:footnote>
  <w:footnote w:id="52">
    <w:p w:rsidR="0029799F" w:rsidRDefault="0029799F">
      <w:pPr>
        <w:pStyle w:val="FootnoteText"/>
      </w:pPr>
      <w:r>
        <w:rPr>
          <w:rStyle w:val="FootnoteReference"/>
        </w:rPr>
        <w:footnoteRef/>
      </w:r>
      <w:r>
        <w:t xml:space="preserve"> Ibid., 211.</w:t>
      </w:r>
    </w:p>
  </w:footnote>
  <w:footnote w:id="53">
    <w:p w:rsidR="0029799F" w:rsidRDefault="0029799F">
      <w:pPr>
        <w:pStyle w:val="FootnoteText"/>
      </w:pPr>
      <w:r>
        <w:rPr>
          <w:rStyle w:val="FootnoteReference"/>
        </w:rPr>
        <w:footnoteRef/>
      </w:r>
      <w:r>
        <w:t xml:space="preserve"> Peter Herman, “In the Heart of the Heart of the Country: The Strike at Lordstown,” in </w:t>
      </w:r>
      <w:r>
        <w:tab/>
        <w:t xml:space="preserve">Root and Branch, </w:t>
      </w:r>
      <w:r>
        <w:rPr>
          <w:u w:val="single"/>
        </w:rPr>
        <w:t>The Rise of the Workers Movements</w:t>
      </w:r>
      <w:r>
        <w:t xml:space="preserve">. (Greenwich: Root and </w:t>
      </w:r>
      <w:r>
        <w:tab/>
        <w:t>Branch, 1975) 58.</w:t>
      </w:r>
    </w:p>
  </w:footnote>
  <w:footnote w:id="54">
    <w:p w:rsidR="0029799F" w:rsidRDefault="0029799F">
      <w:pPr>
        <w:pStyle w:val="FootnoteText"/>
      </w:pPr>
      <w:r>
        <w:rPr>
          <w:rStyle w:val="FootnoteReference"/>
        </w:rPr>
        <w:footnoteRef/>
      </w:r>
      <w:r>
        <w:t xml:space="preserve"> Moberg, 290.</w:t>
      </w:r>
    </w:p>
  </w:footnote>
  <w:footnote w:id="55">
    <w:p w:rsidR="0029799F" w:rsidRDefault="0029799F">
      <w:pPr>
        <w:pStyle w:val="FootnoteText"/>
      </w:pPr>
      <w:r>
        <w:rPr>
          <w:rStyle w:val="FootnoteReference"/>
        </w:rPr>
        <w:footnoteRef/>
      </w:r>
      <w:r>
        <w:t xml:space="preserve"> </w:t>
      </w:r>
      <w:r>
        <w:rPr>
          <w:u w:val="single"/>
        </w:rPr>
        <w:t>Youngstown Vindicator</w:t>
      </w:r>
      <w:r>
        <w:t>, March 26, 1972, 1.</w:t>
      </w:r>
    </w:p>
  </w:footnote>
  <w:footnote w:id="56">
    <w:p w:rsidR="0029799F" w:rsidRDefault="0029799F">
      <w:pPr>
        <w:pStyle w:val="FootnoteText"/>
      </w:pPr>
      <w:r>
        <w:rPr>
          <w:rStyle w:val="FootnoteReference"/>
        </w:rPr>
        <w:footnoteRef/>
      </w:r>
      <w:r>
        <w:t xml:space="preserve"> Moberg, 317.</w:t>
      </w:r>
    </w:p>
  </w:footnote>
  <w:footnote w:id="57">
    <w:p w:rsidR="0029799F" w:rsidRDefault="0029799F">
      <w:pPr>
        <w:pStyle w:val="FootnoteText"/>
      </w:pPr>
      <w:r>
        <w:rPr>
          <w:rStyle w:val="FootnoteReference"/>
        </w:rPr>
        <w:footnoteRef/>
      </w:r>
      <w:r>
        <w:t xml:space="preserve"> Ibid., 318.</w:t>
      </w:r>
    </w:p>
  </w:footnote>
  <w:footnote w:id="58">
    <w:p w:rsidR="0029799F" w:rsidRDefault="0029799F">
      <w:pPr>
        <w:pStyle w:val="FootnoteText"/>
      </w:pPr>
      <w:r>
        <w:rPr>
          <w:rStyle w:val="FootnoteReference"/>
        </w:rPr>
        <w:footnoteRef/>
      </w:r>
      <w:r>
        <w:t xml:space="preserve"> Ibid., 317.</w:t>
      </w:r>
    </w:p>
  </w:footnote>
  <w:footnote w:id="59">
    <w:p w:rsidR="0029799F" w:rsidRDefault="0029799F">
      <w:pPr>
        <w:pStyle w:val="FootnoteText"/>
      </w:pPr>
      <w:r>
        <w:rPr>
          <w:rStyle w:val="FootnoteReference"/>
        </w:rPr>
        <w:footnoteRef/>
      </w:r>
      <w:r>
        <w:t xml:space="preserve"> Ibid., 318.</w:t>
      </w:r>
    </w:p>
  </w:footnote>
  <w:footnote w:id="60">
    <w:p w:rsidR="0029799F" w:rsidRDefault="0029799F">
      <w:pPr>
        <w:pStyle w:val="FootnoteText"/>
      </w:pPr>
      <w:r>
        <w:rPr>
          <w:rStyle w:val="FootnoteReference"/>
        </w:rPr>
        <w:footnoteRef/>
      </w:r>
      <w:r>
        <w:t xml:space="preserve"> Ibid., 323.</w:t>
      </w:r>
    </w:p>
  </w:footnote>
  <w:footnote w:id="61">
    <w:p w:rsidR="0029799F" w:rsidRDefault="0029799F">
      <w:pPr>
        <w:pStyle w:val="FootnoteText"/>
      </w:pPr>
      <w:r>
        <w:rPr>
          <w:rStyle w:val="FootnoteReference"/>
        </w:rPr>
        <w:footnoteRef/>
      </w:r>
      <w:r>
        <w:t xml:space="preserve"> Ibid., 320.</w:t>
      </w:r>
    </w:p>
  </w:footnote>
  <w:footnote w:id="62">
    <w:p w:rsidR="0029799F" w:rsidRDefault="0029799F">
      <w:pPr>
        <w:pStyle w:val="FootnoteText"/>
      </w:pPr>
      <w:r>
        <w:rPr>
          <w:rStyle w:val="FootnoteReference"/>
        </w:rPr>
        <w:footnoteRef/>
      </w:r>
      <w:r>
        <w:t xml:space="preserve"> Ibid., 315.</w:t>
      </w:r>
    </w:p>
  </w:footnote>
  <w:footnote w:id="63">
    <w:p w:rsidR="0029799F" w:rsidRDefault="0029799F">
      <w:pPr>
        <w:pStyle w:val="FootnoteText"/>
      </w:pPr>
      <w:r>
        <w:rPr>
          <w:rStyle w:val="FootnoteReference"/>
        </w:rPr>
        <w:footnoteRef/>
      </w:r>
      <w:r>
        <w:t xml:space="preserve"> Ibid., 319.</w:t>
      </w:r>
    </w:p>
  </w:footnote>
  <w:footnote w:id="64">
    <w:p w:rsidR="0029799F" w:rsidRDefault="0029799F">
      <w:pPr>
        <w:pStyle w:val="FootnoteText"/>
      </w:pPr>
      <w:r>
        <w:rPr>
          <w:rStyle w:val="FootnoteReference"/>
        </w:rPr>
        <w:footnoteRef/>
      </w:r>
      <w:r>
        <w:t xml:space="preserve"> Ibid., 323.</w:t>
      </w:r>
    </w:p>
  </w:footnote>
  <w:footnote w:id="65">
    <w:p w:rsidR="0029799F" w:rsidRDefault="0029799F">
      <w:pPr>
        <w:pStyle w:val="FootnoteText"/>
      </w:pPr>
      <w:r>
        <w:rPr>
          <w:rStyle w:val="FootnoteReference"/>
        </w:rPr>
        <w:footnoteRef/>
      </w:r>
      <w:r>
        <w:t xml:space="preserve"> Ibid., 322.</w:t>
      </w:r>
    </w:p>
  </w:footnote>
  <w:footnote w:id="66">
    <w:p w:rsidR="0029799F" w:rsidRDefault="0029799F">
      <w:pPr>
        <w:pStyle w:val="FootnoteText"/>
      </w:pPr>
      <w:r>
        <w:rPr>
          <w:rStyle w:val="FootnoteReference"/>
        </w:rPr>
        <w:footnoteRef/>
      </w:r>
      <w:r>
        <w:t xml:space="preserve"> Ibid., 327.</w:t>
      </w:r>
    </w:p>
  </w:footnote>
  <w:footnote w:id="67">
    <w:p w:rsidR="0029799F" w:rsidRDefault="0029799F">
      <w:pPr>
        <w:pStyle w:val="FootnoteText"/>
      </w:pPr>
      <w:r>
        <w:rPr>
          <w:rStyle w:val="FootnoteReference"/>
        </w:rPr>
        <w:footnoteRef/>
      </w:r>
      <w:r>
        <w:t xml:space="preserve"> Ibid., 323.</w:t>
      </w:r>
    </w:p>
  </w:footnote>
  <w:footnote w:id="68">
    <w:p w:rsidR="0029799F" w:rsidRDefault="0029799F">
      <w:pPr>
        <w:pStyle w:val="FootnoteText"/>
      </w:pPr>
      <w:r>
        <w:rPr>
          <w:rStyle w:val="FootnoteReference"/>
        </w:rPr>
        <w:footnoteRef/>
      </w:r>
      <w:r>
        <w:t xml:space="preserve"> Stanley Arononwitz, </w:t>
      </w:r>
      <w:r>
        <w:rPr>
          <w:u w:val="single"/>
        </w:rPr>
        <w:t>False Promises: The Shaping of American Working Class Consciousness</w:t>
      </w:r>
      <w:r>
        <w:t>. (New York: Durham, 1992)</w:t>
      </w:r>
    </w:p>
    <w:p w:rsidR="0029799F" w:rsidRDefault="0029799F">
      <w:pPr>
        <w:pStyle w:val="FootnoteText"/>
      </w:pPr>
      <w:r>
        <w:t xml:space="preserve"> Moberg.</w:t>
      </w:r>
    </w:p>
    <w:p w:rsidR="0029799F" w:rsidRDefault="0029799F">
      <w:pPr>
        <w:pStyle w:val="FootnoteText"/>
      </w:pPr>
      <w:r>
        <w:t xml:space="preserve"> Theodore Kneale Urton, “Affluence and Alienation: A Case Study of the Lordstown Vega Strike.” (M.A. thesis, California State University, Chico, 1973)</w:t>
      </w:r>
    </w:p>
  </w:footnote>
  <w:footnote w:id="69">
    <w:p w:rsidR="0029799F" w:rsidRDefault="0029799F">
      <w:pPr>
        <w:pStyle w:val="FootnoteText"/>
      </w:pPr>
      <w:r>
        <w:rPr>
          <w:rStyle w:val="FootnoteReference"/>
        </w:rPr>
        <w:footnoteRef/>
      </w:r>
      <w:r>
        <w:t xml:space="preserve"> Kyle Given, “The Unmaking of the Vega.” </w:t>
      </w:r>
      <w:r>
        <w:rPr>
          <w:u w:val="single"/>
        </w:rPr>
        <w:t>Motor Trend</w:t>
      </w:r>
      <w:r>
        <w:t>, May 1972.</w:t>
      </w:r>
    </w:p>
    <w:p w:rsidR="0029799F" w:rsidRDefault="0029799F">
      <w:pPr>
        <w:pStyle w:val="FootnoteText"/>
      </w:pPr>
      <w:r>
        <w:t xml:space="preserve"> Rothschild, </w:t>
      </w:r>
      <w:r>
        <w:rPr>
          <w:u w:val="single"/>
        </w:rPr>
        <w:t>Lost</w:t>
      </w:r>
      <w:r>
        <w:t>.</w:t>
      </w:r>
    </w:p>
  </w:footnote>
  <w:footnote w:id="70">
    <w:p w:rsidR="0029799F" w:rsidRDefault="0029799F">
      <w:pPr>
        <w:rPr>
          <w:sz w:val="20"/>
        </w:rPr>
      </w:pPr>
      <w:r>
        <w:rPr>
          <w:rStyle w:val="FootnoteReference"/>
        </w:rPr>
        <w:footnoteRef/>
      </w:r>
      <w:r>
        <w:rPr>
          <w:sz w:val="20"/>
        </w:rPr>
        <w:t xml:space="preserve"> Heather Ann Thompson, “Auto Workers, Dissent, and the UAW: Detroit and </w:t>
      </w:r>
      <w:r>
        <w:rPr>
          <w:sz w:val="20"/>
        </w:rPr>
        <w:tab/>
        <w:t xml:space="preserve">Lordstown,” in </w:t>
      </w:r>
      <w:r>
        <w:rPr>
          <w:sz w:val="20"/>
          <w:u w:val="single"/>
        </w:rPr>
        <w:t>Autowork</w:t>
      </w:r>
      <w:r>
        <w:rPr>
          <w:sz w:val="20"/>
        </w:rPr>
        <w:t>. (Albany: State University of New York Press, 1995)</w:t>
      </w:r>
    </w:p>
    <w:p w:rsidR="0029799F" w:rsidRDefault="0029799F">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44A" w:rsidRDefault="00EB04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B044A" w:rsidRDefault="00EB044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44A" w:rsidRDefault="00EB04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8757E">
      <w:rPr>
        <w:rStyle w:val="PageNumber"/>
        <w:noProof/>
      </w:rPr>
      <w:t>21</w:t>
    </w:r>
    <w:r>
      <w:rPr>
        <w:rStyle w:val="PageNumber"/>
      </w:rPr>
      <w:fldChar w:fldCharType="end"/>
    </w:r>
  </w:p>
  <w:p w:rsidR="00EB044A" w:rsidRDefault="00EB044A">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EC"/>
    <w:rsid w:val="00037CEC"/>
    <w:rsid w:val="00287BE1"/>
    <w:rsid w:val="0029799F"/>
    <w:rsid w:val="00560D60"/>
    <w:rsid w:val="0068757E"/>
    <w:rsid w:val="009C3701"/>
    <w:rsid w:val="00EB04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300"/>
  <w15:chartTrackingRefBased/>
  <w15:docId w15:val="{38F1A94C-6F8C-4A45-B31F-666F91912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New Roman" w:hAnsi="Time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styleId="Header">
    <w:name w:val="header"/>
    <w:basedOn w:val="Normal"/>
    <w:semiHidden/>
    <w:pPr>
      <w:tabs>
        <w:tab w:val="center" w:pos="4320"/>
        <w:tab w:val="right" w:pos="8640"/>
      </w:tabs>
    </w:pPr>
  </w:style>
  <w:style w:type="character" w:styleId="PageNumber">
    <w:name w:val="page number"/>
    <w:basedOn w:val="DefaultParagraphFon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9F1B65-7328-4883-8819-6E7FF8AA3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33</Pages>
  <Words>8035</Words>
  <Characters>45804</Characters>
  <Application>Microsoft Office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The Schmozzle</vt:lpstr>
    </vt:vector>
  </TitlesOfParts>
  <Company/>
  <LinksUpToDate>false</LinksUpToDate>
  <CharactersWithSpaces>53732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Schmozzle</dc:title>
  <dc:subject/>
  <dc:creator>BEN BLAKE</dc:creator>
  <cp:keywords/>
  <cp:lastModifiedBy>Benjamin Blake</cp:lastModifiedBy>
  <cp:revision>3</cp:revision>
  <cp:lastPrinted>1999-07-23T01:41:00Z</cp:lastPrinted>
  <dcterms:created xsi:type="dcterms:W3CDTF">2015-11-12T22:19:00Z</dcterms:created>
  <dcterms:modified xsi:type="dcterms:W3CDTF">2015-11-12T23:23:00Z</dcterms:modified>
</cp:coreProperties>
</file>