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CB0D8" w14:textId="00D7BEE7" w:rsidR="007F4755" w:rsidRDefault="007F4755" w:rsidP="007F4755">
      <w:pPr>
        <w:spacing w:after="0" w:line="480" w:lineRule="auto"/>
        <w:rPr>
          <w:rFonts w:ascii="Arial" w:eastAsia="Arial" w:hAnsi="Arial" w:cs="Arial"/>
          <w:bCs/>
          <w:lang w:val="en"/>
        </w:rPr>
      </w:pPr>
      <w:r>
        <w:rPr>
          <w:rFonts w:ascii="Arial" w:eastAsia="Arial" w:hAnsi="Arial" w:cs="Arial"/>
          <w:b/>
          <w:lang w:val="en"/>
        </w:rPr>
        <w:t xml:space="preserve">Authors: </w:t>
      </w:r>
      <w:r>
        <w:rPr>
          <w:rFonts w:ascii="Arial" w:eastAsia="Arial" w:hAnsi="Arial" w:cs="Arial"/>
          <w:bCs/>
          <w:lang w:val="en"/>
        </w:rPr>
        <w:t xml:space="preserve">Alonzo, M., Baker, M.E., Gao, Y., Shandas, V. </w:t>
      </w:r>
    </w:p>
    <w:p w14:paraId="3EAF4579" w14:textId="77777777" w:rsidR="007259BA" w:rsidRPr="007259BA" w:rsidRDefault="007F4755" w:rsidP="007259BA">
      <w:pPr>
        <w:spacing w:after="0" w:line="480" w:lineRule="auto"/>
        <w:rPr>
          <w:rFonts w:ascii="Arial" w:eastAsia="Arial" w:hAnsi="Arial" w:cs="Arial"/>
          <w:b/>
          <w:lang w:val="en"/>
        </w:rPr>
      </w:pPr>
      <w:r>
        <w:rPr>
          <w:rFonts w:ascii="Arial" w:eastAsia="Arial" w:hAnsi="Arial" w:cs="Arial"/>
          <w:b/>
          <w:lang w:val="en"/>
        </w:rPr>
        <w:t xml:space="preserve">Title: </w:t>
      </w:r>
      <w:r w:rsidR="007259BA" w:rsidRPr="007259BA">
        <w:rPr>
          <w:rFonts w:ascii="Arial" w:eastAsia="Arial" w:hAnsi="Arial" w:cs="Arial"/>
          <w:bCs/>
          <w:lang w:val="en"/>
        </w:rPr>
        <w:t>Spatial configuration and time of day impacts the magnitude of urban tree canopy cooling</w:t>
      </w:r>
    </w:p>
    <w:p w14:paraId="5FBBFA75" w14:textId="77777777" w:rsidR="007F4755" w:rsidRDefault="007F4755" w:rsidP="007F4755">
      <w:pPr>
        <w:spacing w:after="0" w:line="480" w:lineRule="auto"/>
        <w:rPr>
          <w:rFonts w:ascii="Arial" w:eastAsia="Arial" w:hAnsi="Arial" w:cs="Arial"/>
          <w:b/>
          <w:lang w:val="en"/>
        </w:rPr>
      </w:pPr>
    </w:p>
    <w:p w14:paraId="5A2C4E32" w14:textId="1B492277" w:rsidR="007F4755" w:rsidRPr="007F4755" w:rsidRDefault="007F4755" w:rsidP="007F4755">
      <w:pPr>
        <w:spacing w:after="0" w:line="480" w:lineRule="auto"/>
        <w:rPr>
          <w:rFonts w:ascii="Arial" w:eastAsia="Arial" w:hAnsi="Arial" w:cs="Arial"/>
          <w:b/>
          <w:lang w:val="en"/>
        </w:rPr>
      </w:pPr>
      <w:r w:rsidRPr="007F4755">
        <w:rPr>
          <w:rFonts w:ascii="Arial" w:eastAsia="Arial" w:hAnsi="Arial" w:cs="Arial"/>
          <w:b/>
          <w:lang w:val="en"/>
        </w:rPr>
        <w:t>Supplementary Materials</w:t>
      </w:r>
      <w:r>
        <w:rPr>
          <w:rFonts w:ascii="Arial" w:eastAsia="Arial" w:hAnsi="Arial" w:cs="Arial"/>
          <w:b/>
          <w:lang w:val="en"/>
        </w:rPr>
        <w:t>:</w:t>
      </w:r>
    </w:p>
    <w:p w14:paraId="70C0C5FA" w14:textId="77777777" w:rsidR="007F4755" w:rsidRPr="007F4755" w:rsidRDefault="007F4755" w:rsidP="007F4755">
      <w:pPr>
        <w:spacing w:after="0" w:line="480" w:lineRule="auto"/>
        <w:rPr>
          <w:rFonts w:ascii="Arial" w:eastAsia="Arial" w:hAnsi="Arial" w:cs="Arial"/>
          <w:b/>
          <w:lang w:val="en"/>
        </w:rPr>
      </w:pPr>
      <w:r w:rsidRPr="007F4755">
        <w:rPr>
          <w:rFonts w:ascii="Arial" w:eastAsia="Arial" w:hAnsi="Arial" w:cs="Arial"/>
          <w:b/>
          <w:noProof/>
          <w:lang w:val="en"/>
        </w:rPr>
        <w:drawing>
          <wp:inline distT="114300" distB="114300" distL="114300" distR="114300" wp14:anchorId="4D5745D2" wp14:editId="281E6A40">
            <wp:extent cx="5943600" cy="4762500"/>
            <wp:effectExtent l="0" t="0" r="0" b="0"/>
            <wp:docPr id="6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62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E7804A7" w14:textId="49CB2B40" w:rsidR="007F4755" w:rsidRPr="007F4755" w:rsidRDefault="007F4755" w:rsidP="007F4755">
      <w:pPr>
        <w:spacing w:after="0" w:line="480" w:lineRule="auto"/>
        <w:rPr>
          <w:rFonts w:ascii="Arial" w:eastAsia="Arial" w:hAnsi="Arial" w:cs="Arial"/>
          <w:sz w:val="20"/>
          <w:szCs w:val="20"/>
          <w:lang w:val="en"/>
        </w:rPr>
      </w:pPr>
      <w:r w:rsidRPr="007F4755">
        <w:rPr>
          <w:rFonts w:ascii="Arial" w:eastAsia="Arial" w:hAnsi="Arial" w:cs="Arial"/>
          <w:b/>
          <w:sz w:val="20"/>
          <w:szCs w:val="20"/>
          <w:lang w:val="en"/>
        </w:rPr>
        <w:t xml:space="preserve">Figure S1: </w:t>
      </w:r>
      <w:r w:rsidRPr="007F4755">
        <w:rPr>
          <w:rFonts w:ascii="Arial" w:eastAsia="Arial" w:hAnsi="Arial" w:cs="Arial"/>
          <w:sz w:val="20"/>
          <w:szCs w:val="20"/>
          <w:lang w:val="en"/>
        </w:rPr>
        <w:t xml:space="preserve">Significant (p&lt;0.05) interactions between canopy and impervious surface by time of day. Colors </w:t>
      </w:r>
      <w:r>
        <w:rPr>
          <w:rFonts w:ascii="Arial" w:eastAsia="Arial" w:hAnsi="Arial" w:cs="Arial"/>
          <w:sz w:val="20"/>
          <w:szCs w:val="20"/>
          <w:lang w:val="en"/>
        </w:rPr>
        <w:t>indicate</w:t>
      </w:r>
      <w:r w:rsidRPr="007F4755">
        <w:rPr>
          <w:rFonts w:ascii="Arial" w:eastAsia="Arial" w:hAnsi="Arial" w:cs="Arial"/>
          <w:sz w:val="20"/>
          <w:szCs w:val="20"/>
          <w:lang w:val="en"/>
        </w:rPr>
        <w:t xml:space="preserve"> warming (positive) or cooling (negative) effect. a-c: </w:t>
      </w:r>
      <w:r>
        <w:rPr>
          <w:rFonts w:ascii="Arial" w:eastAsia="Arial" w:hAnsi="Arial" w:cs="Arial"/>
          <w:sz w:val="20"/>
          <w:szCs w:val="20"/>
          <w:lang w:val="en"/>
        </w:rPr>
        <w:t>Tree canopy fraction (</w:t>
      </w:r>
      <w:r w:rsidRPr="007F4755">
        <w:rPr>
          <w:rFonts w:ascii="Arial" w:eastAsia="Arial" w:hAnsi="Arial" w:cs="Arial"/>
          <w:sz w:val="20"/>
          <w:szCs w:val="20"/>
          <w:lang w:val="en"/>
        </w:rPr>
        <w:t>TCF</w:t>
      </w:r>
      <w:r>
        <w:rPr>
          <w:rFonts w:ascii="Arial" w:eastAsia="Arial" w:hAnsi="Arial" w:cs="Arial"/>
          <w:sz w:val="20"/>
          <w:szCs w:val="20"/>
          <w:lang w:val="en"/>
        </w:rPr>
        <w:t>)</w:t>
      </w:r>
      <w:r w:rsidRPr="007F4755">
        <w:rPr>
          <w:rFonts w:ascii="Arial" w:eastAsia="Arial" w:hAnsi="Arial" w:cs="Arial"/>
          <w:sz w:val="20"/>
          <w:szCs w:val="20"/>
          <w:lang w:val="en"/>
        </w:rPr>
        <w:t xml:space="preserve"> and impervious; d-f: </w:t>
      </w:r>
      <w:r>
        <w:rPr>
          <w:rFonts w:ascii="Arial" w:eastAsia="Arial" w:hAnsi="Arial" w:cs="Arial"/>
          <w:sz w:val="20"/>
          <w:szCs w:val="20"/>
          <w:lang w:val="en"/>
        </w:rPr>
        <w:t>Soft canopy fraction (</w:t>
      </w:r>
      <w:r w:rsidRPr="007F4755">
        <w:rPr>
          <w:rFonts w:ascii="Arial" w:eastAsia="Arial" w:hAnsi="Arial" w:cs="Arial"/>
          <w:sz w:val="20"/>
          <w:szCs w:val="20"/>
          <w:lang w:val="en"/>
        </w:rPr>
        <w:t>SCF</w:t>
      </w:r>
      <w:r>
        <w:rPr>
          <w:rFonts w:ascii="Arial" w:eastAsia="Arial" w:hAnsi="Arial" w:cs="Arial"/>
          <w:sz w:val="20"/>
          <w:szCs w:val="20"/>
          <w:lang w:val="en"/>
        </w:rPr>
        <w:t>)</w:t>
      </w:r>
      <w:r w:rsidRPr="007F4755">
        <w:rPr>
          <w:rFonts w:ascii="Arial" w:eastAsia="Arial" w:hAnsi="Arial" w:cs="Arial"/>
          <w:sz w:val="20"/>
          <w:szCs w:val="20"/>
          <w:lang w:val="en"/>
        </w:rPr>
        <w:t xml:space="preserve"> and impervious; g-</w:t>
      </w:r>
      <w:proofErr w:type="spellStart"/>
      <w:r w:rsidRPr="007F4755">
        <w:rPr>
          <w:rFonts w:ascii="Arial" w:eastAsia="Arial" w:hAnsi="Arial" w:cs="Arial"/>
          <w:sz w:val="20"/>
          <w:szCs w:val="20"/>
          <w:lang w:val="en"/>
        </w:rPr>
        <w:t>i</w:t>
      </w:r>
      <w:proofErr w:type="spellEnd"/>
      <w:r w:rsidRPr="007F4755">
        <w:rPr>
          <w:rFonts w:ascii="Arial" w:eastAsia="Arial" w:hAnsi="Arial" w:cs="Arial"/>
          <w:sz w:val="20"/>
          <w:szCs w:val="20"/>
          <w:lang w:val="en"/>
        </w:rPr>
        <w:t>: PATCH and impervious</w:t>
      </w:r>
      <w:r w:rsidR="007259BA">
        <w:rPr>
          <w:rFonts w:ascii="Arial" w:eastAsia="Arial" w:hAnsi="Arial" w:cs="Arial"/>
          <w:sz w:val="20"/>
          <w:szCs w:val="20"/>
          <w:lang w:val="en"/>
        </w:rPr>
        <w:t>. Predawn is 5:00 to 6:00, afternoon is 14:00 to 15:00, and evening is 18:00 to 19:00.</w:t>
      </w:r>
    </w:p>
    <w:p w14:paraId="5DD68527" w14:textId="77777777" w:rsidR="00C12833" w:rsidRDefault="00C12833"/>
    <w:sectPr w:rsidR="00C128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755"/>
    <w:rsid w:val="00615A9E"/>
    <w:rsid w:val="007259BA"/>
    <w:rsid w:val="007F4755"/>
    <w:rsid w:val="00B76672"/>
    <w:rsid w:val="00C12833"/>
    <w:rsid w:val="00D52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AB0BF"/>
  <w15:chartTrackingRefBased/>
  <w15:docId w15:val="{7AD5682D-9510-439D-A262-9FE8AEC55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471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Alonzo</dc:creator>
  <cp:keywords/>
  <dc:description/>
  <cp:lastModifiedBy>Mike Alonzo</cp:lastModifiedBy>
  <cp:revision>2</cp:revision>
  <dcterms:created xsi:type="dcterms:W3CDTF">2021-07-01T18:52:00Z</dcterms:created>
  <dcterms:modified xsi:type="dcterms:W3CDTF">2021-07-01T18:52:00Z</dcterms:modified>
</cp:coreProperties>
</file>