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BD72AB" w14:textId="77777777" w:rsidR="008927D0" w:rsidRPr="00E40896" w:rsidRDefault="008927D0" w:rsidP="004779CB">
      <w:pPr>
        <w:rPr>
          <w:rFonts w:ascii="Myriad Pro Light" w:hAnsi="Myriad Pro Light"/>
          <w:szCs w:val="24"/>
        </w:rPr>
      </w:pPr>
    </w:p>
    <w:p w14:paraId="4AC83D39" w14:textId="77777777" w:rsidR="00FA1481" w:rsidRDefault="00664A12" w:rsidP="00E40896">
      <w:pPr>
        <w:jc w:val="center"/>
        <w:rPr>
          <w:sz w:val="36"/>
          <w:szCs w:val="36"/>
        </w:rPr>
      </w:pPr>
      <w:r>
        <w:rPr>
          <w:noProof/>
          <w:sz w:val="36"/>
          <w:szCs w:val="36"/>
        </w:rPr>
        <w:drawing>
          <wp:inline distT="0" distB="0" distL="0" distR="0" wp14:anchorId="6720CD11" wp14:editId="7067F797">
            <wp:extent cx="3200400" cy="609600"/>
            <wp:effectExtent l="0" t="0" r="0" b="0"/>
            <wp:docPr id="1" name="Picture 1" descr="agu_pubart-white_redu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u_pubart-white_reduc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00400" cy="609600"/>
                    </a:xfrm>
                    <a:prstGeom prst="rect">
                      <a:avLst/>
                    </a:prstGeom>
                    <a:noFill/>
                    <a:ln>
                      <a:noFill/>
                    </a:ln>
                  </pic:spPr>
                </pic:pic>
              </a:graphicData>
            </a:graphic>
          </wp:inline>
        </w:drawing>
      </w:r>
    </w:p>
    <w:p w14:paraId="7EE184DA" w14:textId="5744AEC1" w:rsidR="00CE6EAA" w:rsidRPr="00BF1BF9" w:rsidRDefault="00D631EB" w:rsidP="00FF3503">
      <w:pPr>
        <w:spacing w:before="100" w:beforeAutospacing="1" w:after="100" w:afterAutospacing="1"/>
        <w:jc w:val="center"/>
        <w:rPr>
          <w:rFonts w:ascii="Myriad Pro" w:hAnsi="Myriad Pro"/>
          <w:i/>
          <w:sz w:val="22"/>
          <w:szCs w:val="22"/>
        </w:rPr>
      </w:pPr>
      <w:r>
        <w:rPr>
          <w:rFonts w:ascii="Myriad Pro" w:hAnsi="Myriad Pro"/>
          <w:i/>
          <w:sz w:val="22"/>
          <w:szCs w:val="22"/>
        </w:rPr>
        <w:t>Geophysical Research Letters</w:t>
      </w: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69EFDAB2" w14:textId="77777777" w:rsidR="00810FC9" w:rsidRDefault="00810FC9" w:rsidP="00810FC9">
      <w:pPr>
        <w:pStyle w:val="Note"/>
        <w:rPr>
          <w:rFonts w:eastAsiaTheme="majorEastAsia" w:cstheme="majorBidi"/>
          <w:b/>
          <w:color w:val="auto"/>
          <w:spacing w:val="-10"/>
          <w:kern w:val="28"/>
          <w:sz w:val="28"/>
          <w:szCs w:val="56"/>
        </w:rPr>
      </w:pPr>
      <w:r w:rsidRPr="00523E0F">
        <w:rPr>
          <w:rFonts w:eastAsiaTheme="majorEastAsia" w:cstheme="majorBidi"/>
          <w:b/>
          <w:color w:val="auto"/>
          <w:spacing w:val="-10"/>
          <w:kern w:val="28"/>
          <w:sz w:val="28"/>
          <w:szCs w:val="56"/>
        </w:rPr>
        <w:t xml:space="preserve">Changes in extreme precipitation and landslides over High Mountain Asia </w:t>
      </w:r>
    </w:p>
    <w:p w14:paraId="7A7B67BA" w14:textId="00668936" w:rsidR="00810FC9" w:rsidRPr="006F662E" w:rsidRDefault="00810FC9" w:rsidP="00810FC9">
      <w:pPr>
        <w:pStyle w:val="Note"/>
      </w:pPr>
      <w:r w:rsidRPr="00523E0F">
        <w:rPr>
          <w:rFonts w:eastAsia="Times New Roman"/>
          <w:b/>
          <w:color w:val="auto"/>
          <w:sz w:val="24"/>
          <w:szCs w:val="24"/>
        </w:rPr>
        <w:t>D</w:t>
      </w:r>
      <w:r>
        <w:rPr>
          <w:rFonts w:eastAsia="Times New Roman"/>
          <w:b/>
          <w:color w:val="auto"/>
          <w:sz w:val="24"/>
          <w:szCs w:val="24"/>
        </w:rPr>
        <w:t>.</w:t>
      </w:r>
      <w:r w:rsidRPr="00523E0F">
        <w:rPr>
          <w:rFonts w:eastAsia="Times New Roman"/>
          <w:b/>
          <w:color w:val="auto"/>
          <w:sz w:val="24"/>
          <w:szCs w:val="24"/>
        </w:rPr>
        <w:t xml:space="preserve"> Kirschbaum</w:t>
      </w:r>
      <w:r w:rsidRPr="00523E0F">
        <w:rPr>
          <w:rFonts w:eastAsia="Times New Roman"/>
          <w:b/>
          <w:color w:val="auto"/>
          <w:sz w:val="24"/>
          <w:szCs w:val="24"/>
          <w:vertAlign w:val="superscript"/>
        </w:rPr>
        <w:t>1</w:t>
      </w:r>
      <w:r w:rsidRPr="00523E0F">
        <w:rPr>
          <w:rFonts w:eastAsia="Times New Roman"/>
          <w:b/>
          <w:color w:val="auto"/>
          <w:sz w:val="24"/>
          <w:szCs w:val="24"/>
        </w:rPr>
        <w:t>, S</w:t>
      </w:r>
      <w:r>
        <w:rPr>
          <w:rFonts w:eastAsia="Times New Roman"/>
          <w:b/>
          <w:color w:val="auto"/>
          <w:sz w:val="24"/>
          <w:szCs w:val="24"/>
        </w:rPr>
        <w:t>.</w:t>
      </w:r>
      <w:r w:rsidRPr="00523E0F">
        <w:rPr>
          <w:rFonts w:eastAsia="Times New Roman"/>
          <w:b/>
          <w:color w:val="auto"/>
          <w:sz w:val="24"/>
          <w:szCs w:val="24"/>
        </w:rPr>
        <w:t xml:space="preserve"> Kapnick</w:t>
      </w:r>
      <w:r w:rsidRPr="00523E0F">
        <w:rPr>
          <w:rFonts w:eastAsia="Times New Roman"/>
          <w:b/>
          <w:color w:val="auto"/>
          <w:sz w:val="24"/>
          <w:szCs w:val="24"/>
          <w:vertAlign w:val="superscript"/>
        </w:rPr>
        <w:t>2</w:t>
      </w:r>
      <w:r w:rsidRPr="00523E0F">
        <w:rPr>
          <w:rFonts w:eastAsia="Times New Roman"/>
          <w:b/>
          <w:color w:val="auto"/>
          <w:sz w:val="24"/>
          <w:szCs w:val="24"/>
        </w:rPr>
        <w:t>, T</w:t>
      </w:r>
      <w:r>
        <w:rPr>
          <w:rFonts w:eastAsia="Times New Roman"/>
          <w:b/>
          <w:color w:val="auto"/>
          <w:sz w:val="24"/>
          <w:szCs w:val="24"/>
        </w:rPr>
        <w:t>.</w:t>
      </w:r>
      <w:r w:rsidRPr="00523E0F">
        <w:rPr>
          <w:rFonts w:eastAsia="Times New Roman"/>
          <w:b/>
          <w:color w:val="auto"/>
          <w:sz w:val="24"/>
          <w:szCs w:val="24"/>
        </w:rPr>
        <w:t xml:space="preserve"> Stanley</w:t>
      </w:r>
      <w:r w:rsidRPr="00523E0F">
        <w:rPr>
          <w:rFonts w:eastAsia="Times New Roman"/>
          <w:b/>
          <w:color w:val="auto"/>
          <w:sz w:val="24"/>
          <w:szCs w:val="24"/>
          <w:vertAlign w:val="superscript"/>
        </w:rPr>
        <w:t>3,1</w:t>
      </w:r>
      <w:r w:rsidRPr="00523E0F">
        <w:rPr>
          <w:rFonts w:eastAsia="Times New Roman"/>
          <w:b/>
          <w:color w:val="auto"/>
          <w:sz w:val="24"/>
          <w:szCs w:val="24"/>
        </w:rPr>
        <w:t>, S</w:t>
      </w:r>
      <w:r>
        <w:rPr>
          <w:rFonts w:eastAsia="Times New Roman"/>
          <w:b/>
          <w:color w:val="auto"/>
          <w:sz w:val="24"/>
          <w:szCs w:val="24"/>
        </w:rPr>
        <w:t>.</w:t>
      </w:r>
      <w:r w:rsidRPr="00523E0F">
        <w:rPr>
          <w:rFonts w:eastAsia="Times New Roman"/>
          <w:b/>
          <w:color w:val="auto"/>
          <w:sz w:val="24"/>
          <w:szCs w:val="24"/>
        </w:rPr>
        <w:t xml:space="preserve"> Pascale</w:t>
      </w:r>
      <w:r w:rsidRPr="00523E0F">
        <w:rPr>
          <w:rFonts w:eastAsia="Times New Roman"/>
          <w:b/>
          <w:color w:val="auto"/>
          <w:sz w:val="24"/>
          <w:szCs w:val="24"/>
          <w:vertAlign w:val="superscript"/>
        </w:rPr>
        <w:t xml:space="preserve">4 </w:t>
      </w:r>
    </w:p>
    <w:p w14:paraId="6B47315F" w14:textId="77777777" w:rsidR="00810FC9" w:rsidRDefault="00810FC9" w:rsidP="00810FC9">
      <w:pPr>
        <w:pStyle w:val="Affiliation"/>
      </w:pPr>
      <w:r w:rsidRPr="00B43FDE">
        <w:rPr>
          <w:vertAlign w:val="superscript"/>
        </w:rPr>
        <w:t>1</w:t>
      </w:r>
      <w:r w:rsidRPr="00523E0F">
        <w:t xml:space="preserve"> </w:t>
      </w:r>
      <w:r>
        <w:t xml:space="preserve">Hydrological Sciences Laboratory, </w:t>
      </w:r>
      <w:r w:rsidRPr="00523E0F">
        <w:t>NASA Goddard Space Flight Center, Greenbelt, MD</w:t>
      </w:r>
      <w:r>
        <w:t>.</w:t>
      </w:r>
    </w:p>
    <w:p w14:paraId="253DEB72" w14:textId="77777777" w:rsidR="00810FC9" w:rsidRDefault="00810FC9" w:rsidP="00810FC9">
      <w:pPr>
        <w:pStyle w:val="Affiliation"/>
      </w:pPr>
      <w:r>
        <w:rPr>
          <w:vertAlign w:val="superscript"/>
        </w:rPr>
        <w:t>2</w:t>
      </w:r>
      <w:r w:rsidRPr="00523E0F">
        <w:t xml:space="preserve"> NOAA/Geophysical Fluid Dynamics Laboratory, Princeton, NJ</w:t>
      </w:r>
      <w:r>
        <w:t>.</w:t>
      </w:r>
    </w:p>
    <w:p w14:paraId="537E3779" w14:textId="77777777" w:rsidR="00810FC9" w:rsidRDefault="00810FC9" w:rsidP="00810FC9">
      <w:pPr>
        <w:pStyle w:val="Affiliation"/>
      </w:pPr>
      <w:r>
        <w:rPr>
          <w:vertAlign w:val="superscript"/>
        </w:rPr>
        <w:t>3</w:t>
      </w:r>
      <w:r w:rsidRPr="00523E0F">
        <w:t xml:space="preserve"> Universities Space Research Association, Columbia, </w:t>
      </w:r>
      <w:r>
        <w:t>MD.</w:t>
      </w:r>
    </w:p>
    <w:p w14:paraId="2C230C9A" w14:textId="34869D84" w:rsidR="00810FC9" w:rsidRDefault="00810FC9" w:rsidP="00810FC9">
      <w:pPr>
        <w:pStyle w:val="Affiliation"/>
      </w:pPr>
      <w:r w:rsidRPr="00523E0F">
        <w:rPr>
          <w:vertAlign w:val="superscript"/>
        </w:rPr>
        <w:t>4</w:t>
      </w:r>
      <w:r w:rsidRPr="00523E0F">
        <w:t xml:space="preserve"> </w:t>
      </w:r>
      <w:r w:rsidR="00F653D7">
        <w:t>D</w:t>
      </w:r>
      <w:r w:rsidR="00F653D7" w:rsidRPr="00140415">
        <w:t>epartment of Earth System Science</w:t>
      </w:r>
      <w:r w:rsidR="00F653D7">
        <w:t>, Stanford University, Stanford CA</w:t>
      </w:r>
      <w:bookmarkStart w:id="0" w:name="_GoBack"/>
      <w:r w:rsidR="00D574FD">
        <w:t>.</w:t>
      </w:r>
      <w:bookmarkEnd w:id="0"/>
    </w:p>
    <w:p w14:paraId="71891EDF" w14:textId="45BB4D3B" w:rsidR="00094365" w:rsidRPr="00CE6EAA" w:rsidRDefault="00094365" w:rsidP="00825950">
      <w:pPr>
        <w:spacing w:before="100" w:beforeAutospacing="1" w:after="100" w:afterAutospacing="1"/>
        <w:jc w:val="center"/>
        <w:rPr>
          <w:rFonts w:ascii="Myriad Pro" w:hAnsi="Myriad Pro"/>
          <w:sz w:val="22"/>
          <w:szCs w:val="22"/>
        </w:rPr>
      </w:pPr>
    </w:p>
    <w:p w14:paraId="347237BD" w14:textId="77777777" w:rsidR="00094365" w:rsidRPr="00CE6EAA" w:rsidRDefault="00094365" w:rsidP="000B2E64">
      <w:pPr>
        <w:spacing w:before="100" w:beforeAutospacing="1" w:after="100" w:afterAutospacing="1"/>
        <w:jc w:val="center"/>
        <w:rPr>
          <w:rFonts w:ascii="Myriad Pro" w:hAnsi="Myriad Pro"/>
          <w:sz w:val="22"/>
          <w:szCs w:val="22"/>
        </w:rPr>
      </w:pPr>
    </w:p>
    <w:p w14:paraId="1CD128B3" w14:textId="77777777" w:rsidR="00111843"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1F13291B" w14:textId="77777777" w:rsidR="00E43D2D" w:rsidRPr="00E40896" w:rsidRDefault="00E43D2D" w:rsidP="00111843">
      <w:pPr>
        <w:rPr>
          <w:rFonts w:ascii="Myriad Pro" w:hAnsi="Myriad Pro"/>
        </w:rPr>
      </w:pPr>
    </w:p>
    <w:p w14:paraId="3D1CAEA0" w14:textId="1E9E17CF" w:rsidR="00111843" w:rsidRPr="00CE6EAA" w:rsidRDefault="00111843" w:rsidP="00111843">
      <w:pPr>
        <w:ind w:left="720"/>
        <w:rPr>
          <w:rFonts w:ascii="Myriad Pro" w:hAnsi="Myriad Pro"/>
          <w:sz w:val="22"/>
          <w:szCs w:val="22"/>
        </w:rPr>
      </w:pPr>
      <w:r w:rsidRPr="00CE6EAA">
        <w:rPr>
          <w:rFonts w:ascii="Myriad Pro" w:hAnsi="Myriad Pro"/>
          <w:sz w:val="22"/>
          <w:szCs w:val="22"/>
        </w:rPr>
        <w:t xml:space="preserve">Text S1 to </w:t>
      </w:r>
      <w:r w:rsidR="002856B6" w:rsidRPr="00CE6EAA">
        <w:rPr>
          <w:rFonts w:ascii="Myriad Pro" w:hAnsi="Myriad Pro"/>
          <w:sz w:val="22"/>
          <w:szCs w:val="22"/>
        </w:rPr>
        <w:t>S</w:t>
      </w:r>
      <w:r w:rsidR="002856B6">
        <w:rPr>
          <w:rFonts w:ascii="Myriad Pro" w:hAnsi="Myriad Pro"/>
          <w:sz w:val="22"/>
          <w:szCs w:val="22"/>
        </w:rPr>
        <w:t>3</w:t>
      </w:r>
    </w:p>
    <w:p w14:paraId="10640459" w14:textId="591109A5" w:rsidR="00111843" w:rsidRPr="00CE6EAA" w:rsidRDefault="00111843" w:rsidP="00111843">
      <w:pPr>
        <w:ind w:left="720"/>
        <w:rPr>
          <w:rFonts w:ascii="Myriad Pro" w:hAnsi="Myriad Pro"/>
          <w:sz w:val="22"/>
          <w:szCs w:val="22"/>
        </w:rPr>
      </w:pPr>
      <w:r w:rsidRPr="00CE6EAA">
        <w:rPr>
          <w:rFonts w:ascii="Myriad Pro" w:hAnsi="Myriad Pro"/>
          <w:sz w:val="22"/>
          <w:szCs w:val="22"/>
        </w:rPr>
        <w:t>Figures S1 to S</w:t>
      </w:r>
      <w:r w:rsidR="00F22F71">
        <w:rPr>
          <w:rFonts w:ascii="Myriad Pro" w:hAnsi="Myriad Pro"/>
          <w:sz w:val="22"/>
          <w:szCs w:val="22"/>
        </w:rPr>
        <w:t>3</w:t>
      </w:r>
    </w:p>
    <w:p w14:paraId="0363B503" w14:textId="6DFD9D8F" w:rsidR="00111843" w:rsidRPr="00E40896" w:rsidRDefault="00111843" w:rsidP="00111843">
      <w:pPr>
        <w:ind w:left="720"/>
        <w:rPr>
          <w:rFonts w:ascii="Myriad Pro" w:hAnsi="Myriad Pro"/>
        </w:rPr>
      </w:pPr>
      <w:r w:rsidRPr="00CE6EAA">
        <w:rPr>
          <w:rFonts w:ascii="Myriad Pro" w:hAnsi="Myriad Pro"/>
          <w:sz w:val="22"/>
          <w:szCs w:val="22"/>
        </w:rPr>
        <w:t xml:space="preserve">Table S1 </w:t>
      </w:r>
    </w:p>
    <w:p w14:paraId="79042C92" w14:textId="77777777" w:rsidR="00FF3503" w:rsidRPr="00CE6EAA" w:rsidRDefault="00FF3503" w:rsidP="00FF3503">
      <w:pPr>
        <w:spacing w:before="100" w:beforeAutospacing="1" w:after="100" w:afterAutospacing="1"/>
        <w:rPr>
          <w:rFonts w:ascii="Myriad Pro" w:hAnsi="Myriad Pro"/>
          <w:b/>
          <w:szCs w:val="24"/>
        </w:rPr>
      </w:pPr>
      <w:r w:rsidRPr="00CE6EAA">
        <w:rPr>
          <w:rFonts w:ascii="Myriad Pro" w:hAnsi="Myriad Pro"/>
          <w:b/>
          <w:bCs/>
          <w:szCs w:val="24"/>
        </w:rPr>
        <w:t>Introduction</w:t>
      </w:r>
      <w:r w:rsidRPr="00CE6EAA">
        <w:rPr>
          <w:rFonts w:ascii="Myriad Pro" w:hAnsi="Myriad Pro"/>
          <w:b/>
          <w:szCs w:val="24"/>
        </w:rPr>
        <w:t xml:space="preserve"> </w:t>
      </w:r>
    </w:p>
    <w:p w14:paraId="218F825A" w14:textId="5349D3EA" w:rsidR="00FF3503" w:rsidRPr="00CE6EAA" w:rsidRDefault="0054432F" w:rsidP="00810FC9">
      <w:pPr>
        <w:spacing w:before="100" w:beforeAutospacing="1" w:after="100" w:afterAutospacing="1"/>
        <w:rPr>
          <w:rFonts w:ascii="Myriad Pro" w:hAnsi="Myriad Pro"/>
          <w:sz w:val="22"/>
          <w:szCs w:val="22"/>
        </w:rPr>
      </w:pPr>
      <w:r>
        <w:rPr>
          <w:rFonts w:ascii="Myriad Pro" w:hAnsi="Myriad Pro"/>
          <w:sz w:val="22"/>
          <w:szCs w:val="22"/>
        </w:rPr>
        <w:t xml:space="preserve">The </w:t>
      </w:r>
      <w:r w:rsidR="00810FC9">
        <w:rPr>
          <w:rFonts w:ascii="Myriad Pro" w:hAnsi="Myriad Pro"/>
          <w:sz w:val="22"/>
          <w:szCs w:val="22"/>
        </w:rPr>
        <w:t xml:space="preserve">supporting information provides further descriptions of the methods, model settings and additional results that support the findings provided in the manuscript. This includes one table and three figures. </w:t>
      </w:r>
    </w:p>
    <w:p w14:paraId="667D8CA8" w14:textId="660E307E" w:rsidR="00015F74" w:rsidRDefault="00015F74" w:rsidP="00B9440A">
      <w:pPr>
        <w:pStyle w:val="SMHeading"/>
        <w:rPr>
          <w:rFonts w:ascii="Myriad Pro" w:hAnsi="Myriad Pro"/>
          <w:sz w:val="22"/>
          <w:szCs w:val="22"/>
        </w:rPr>
      </w:pPr>
      <w:r w:rsidRPr="005314B5">
        <w:rPr>
          <w:rFonts w:ascii="Myriad Pro" w:hAnsi="Myriad Pro"/>
          <w:sz w:val="22"/>
          <w:szCs w:val="22"/>
        </w:rPr>
        <w:t>Text</w:t>
      </w:r>
      <w:r w:rsidR="00D60BB0">
        <w:rPr>
          <w:rFonts w:ascii="Myriad Pro" w:hAnsi="Myriad Pro"/>
          <w:sz w:val="22"/>
          <w:szCs w:val="22"/>
        </w:rPr>
        <w:t xml:space="preserve"> S1.</w:t>
      </w:r>
      <w:r w:rsidR="00810FC9">
        <w:rPr>
          <w:rFonts w:ascii="Myriad Pro" w:hAnsi="Myriad Pro"/>
          <w:sz w:val="22"/>
          <w:szCs w:val="22"/>
        </w:rPr>
        <w:t xml:space="preserve"> GCM Simulation</w:t>
      </w:r>
      <w:r w:rsidR="002856B6">
        <w:rPr>
          <w:rFonts w:ascii="Myriad Pro" w:hAnsi="Myriad Pro"/>
          <w:sz w:val="22"/>
          <w:szCs w:val="22"/>
        </w:rPr>
        <w:t>,</w:t>
      </w:r>
      <w:r w:rsidR="00810FC9">
        <w:rPr>
          <w:rFonts w:ascii="Myriad Pro" w:hAnsi="Myriad Pro"/>
          <w:sz w:val="22"/>
          <w:szCs w:val="22"/>
        </w:rPr>
        <w:t xml:space="preserve"> Satellite Precipitation</w:t>
      </w:r>
      <w:r w:rsidR="002856B6">
        <w:rPr>
          <w:rFonts w:ascii="Myriad Pro" w:hAnsi="Myriad Pro"/>
          <w:sz w:val="22"/>
          <w:szCs w:val="22"/>
        </w:rPr>
        <w:t>, and Socioeconomic</w:t>
      </w:r>
      <w:r w:rsidR="00810FC9">
        <w:rPr>
          <w:rFonts w:ascii="Myriad Pro" w:hAnsi="Myriad Pro"/>
          <w:sz w:val="22"/>
          <w:szCs w:val="22"/>
        </w:rPr>
        <w:t xml:space="preserve"> </w:t>
      </w:r>
      <w:r w:rsidR="002856B6">
        <w:rPr>
          <w:rFonts w:ascii="Myriad Pro" w:hAnsi="Myriad Pro"/>
          <w:sz w:val="22"/>
          <w:szCs w:val="22"/>
        </w:rPr>
        <w:t>Data Description</w:t>
      </w:r>
    </w:p>
    <w:p w14:paraId="53E4984C" w14:textId="5469BAE6" w:rsidR="00810FC9" w:rsidRDefault="00810FC9" w:rsidP="00810FC9">
      <w:pPr>
        <w:rPr>
          <w:szCs w:val="24"/>
        </w:rPr>
      </w:pPr>
      <w:r>
        <w:rPr>
          <w:szCs w:val="24"/>
        </w:rPr>
        <w:t>In this study w</w:t>
      </w:r>
      <w:r w:rsidRPr="001108C1">
        <w:rPr>
          <w:szCs w:val="24"/>
        </w:rPr>
        <w:t>e use two separate configurations of the GFDL FLOR model</w:t>
      </w:r>
      <w:r w:rsidR="00D631EB">
        <w:rPr>
          <w:szCs w:val="24"/>
        </w:rPr>
        <w:t xml:space="preserve"> </w:t>
      </w:r>
      <w:r w:rsidR="00D631EB">
        <w:rPr>
          <w:szCs w:val="24"/>
        </w:rPr>
        <w:fldChar w:fldCharType="begin" w:fldLock="1"/>
      </w:r>
      <w:r w:rsidR="00D631EB">
        <w:rPr>
          <w:szCs w:val="24"/>
        </w:rPr>
        <w:instrText>ADDIN CSL_CITATION {"citationItems":[{"id":"ITEM-1","itemData":{"DOI":"10.1175/JCLI-D-14-00158.1","ISSN":"0894-8755","abstract":"AbstractTropical cyclones (TCs) are a hazard to life and property and a prominent element of the global climate system; therefore, understanding and predicting TC location, intensity, and frequency is of both societal and scientific significance. Methodologies exist to predict basinwide, seasonally aggregated TC activity months, seasons, and even years in advance. It is shown that a newly developed high-resolution global climate model can produce skillful forecasts of seasonal TC activity on spatial scales finer than basinwide, from months and seasons in advance of the TC season. The climate model used here is targeted at predicting regional climate and the statistics of weather extremes on seasonal to decadal time scales, and comprises high-resolution (50 km ? 50 km) atmosphere and land components as well as more moderate-resolution (~100 km) sea ice and ocean components. The simulation of TC climatology and interannual variations in this climate model is substantially improved by correcting systematic ocean biases through ?flux adjustment.? A suite of 12-month duration retrospective forecasts is performed over the 1981?2012 period, after initializing the climate model to observationally constrained conditions at the start of each forecast period, using both the standard and flux-adjusted versions of the model. The standard and flux-adjusted forecasts exhibit equivalent skill at predicting Northern Hemisphere TC season sea surface temperature, but the flux-adjusted model exhibits substantially improved basinwide and regional TC activity forecasts, highlighting the role of systematic biases in limiting the quality of TC forecasts. These results suggest that dynamical forecasts of seasonally aggregated regional TC activity months in advance are feasible.","author":[{"dropping-particle":"","family":"Vecchi","given":"G A","non-dropping-particle":"","parse-names":false,"suffix":""},{"dropping-particle":"","family":"Delworth","given":"T","non-dropping-particle":"","parse-names":false,"suffix":""},{"dropping-particle":"","family":"Gudgel","given":"R","non-dropping-particle":"","parse-names":false,"suffix":""},{"dropping-particle":"","family":"Kapnick","given":"S","non-dropping-particle":"","parse-names":false,"suffix":""},{"dropping-particle":"","family":"Rosati","given":"A","non-dropping-particle":"","parse-names":false,"suffix":""},{"dropping-particle":"","family":"Wittenberg","given":"A T","non-dropping-particle":"","parse-names":false,"suffix":""},{"dropping-particle":"","family":"Zeng","given":"F","non-dropping-particle":"","parse-names":false,"suffix":""},{"dropping-particle":"","family":"Anderson","given":"W","non-dropping-particle":"","parse-names":false,"suffix":""},{"dropping-particle":"","family":"Balaji","given":"V","non-dropping-particle":"","parse-names":false,"suffix":""},{"dropping-particle":"","family":"Dixon","given":"K","non-dropping-particle":"","parse-names":false,"suffix":""},{"dropping-particle":"","family":"Jia","given":"L","non-dropping-particle":"","parse-names":false,"suffix":""},{"dropping-particle":"","family":"Kim","given":"H.-S.","non-dropping-particle":"","parse-names":false,"suffix":""},{"dropping-particle":"","family":"Krishnamurthy","given":"L","non-dropping-particle":"","parse-names":false,"suffix":""},{"dropping-particle":"","family":"Msadek","given":"R","non-dropping-particle":"","parse-names":false,"suffix":""},{"dropping-particle":"","family":"Stern","given":"W F","non-dropping-particle":"","parse-names":false,"suffix":""},{"dropping-particle":"","family":"Underwood","given":"S D","non-dropping-particle":"","parse-names":false,"suffix":""},{"dropping-particle":"","family":"Villarini","given":"G","non-dropping-particle":"","parse-names":false,"suffix":""},{"dropping-particle":"","family":"Yang","given":"X","non-dropping-particle":"","parse-names":false,"suffix":""},{"dropping-particle":"","family":"Zhang","given":"S","non-dropping-particle":"","parse-names":false,"suffix":""}],"container-title":"Journal of Climate","id":"ITEM-1","issue":"21","issued":{"date-parts":[["2014","7","23"]]},"note":"doi: 10.1175/JCLI-D-14-00158.1","page":"7994-8016","publisher":"American Meteorological Society","title":"On the Seasonal Forecasting of Regional Tropical Cyclone Activity","type":"article-journal","volume":"27"},"uris":["http://www.mendeley.com/documents/?uuid=dea1c785-6bb0-4d6e-8379-c6f74431dd52"]}],"mendeley":{"formattedCitation":"(Vecchi et al., 2014)","plainTextFormattedCitation":"(Vecchi et al., 2014)","previouslyFormattedCitation":"(Vecchi et al., 2014)"},"properties":{"noteIndex":0},"schema":"https://github.com/citation-style-language/schema/raw/master/csl-citation.json"}</w:instrText>
      </w:r>
      <w:r w:rsidR="00D631EB">
        <w:rPr>
          <w:szCs w:val="24"/>
        </w:rPr>
        <w:fldChar w:fldCharType="separate"/>
      </w:r>
      <w:r w:rsidR="00D631EB" w:rsidRPr="00D631EB">
        <w:rPr>
          <w:noProof/>
          <w:szCs w:val="24"/>
        </w:rPr>
        <w:t>(Vecchi et al., 2014)</w:t>
      </w:r>
      <w:r w:rsidR="00D631EB">
        <w:rPr>
          <w:szCs w:val="24"/>
        </w:rPr>
        <w:fldChar w:fldCharType="end"/>
      </w:r>
      <w:r w:rsidRPr="001108C1">
        <w:rPr>
          <w:szCs w:val="24"/>
        </w:rPr>
        <w:t xml:space="preserve"> to </w:t>
      </w:r>
      <w:bookmarkStart w:id="1" w:name="_Hlk16082378"/>
      <w:r w:rsidRPr="001108C1">
        <w:rPr>
          <w:szCs w:val="24"/>
        </w:rPr>
        <w:t>generate daily precipitation at 0.5˚ x 0.5˚ global resolution</w:t>
      </w:r>
      <w:bookmarkEnd w:id="1"/>
      <w:r w:rsidRPr="001108C1">
        <w:rPr>
          <w:szCs w:val="24"/>
        </w:rPr>
        <w:t>. At this horizontal resolution, we are able to generate a sufficiently large data set—hundreds of years of data—to study precipit</w:t>
      </w:r>
      <w:r w:rsidRPr="00F22F71">
        <w:rPr>
          <w:szCs w:val="24"/>
        </w:rPr>
        <w:t xml:space="preserve">ation extremes. FLOR data from this study is available at: </w:t>
      </w:r>
      <w:hyperlink r:id="rId9" w:tgtFrame="_blank" w:history="1">
        <w:r w:rsidRPr="00F22F71">
          <w:rPr>
            <w:rStyle w:val="Hyperlink"/>
            <w:color w:val="1155CC"/>
            <w:szCs w:val="24"/>
            <w:shd w:val="clear" w:color="auto" w:fill="FFFFFF"/>
          </w:rPr>
          <w:t>ftp://</w:t>
        </w:r>
        <w:r w:rsidRPr="00F22F71">
          <w:rPr>
            <w:rStyle w:val="il"/>
            <w:color w:val="1155CC"/>
            <w:szCs w:val="24"/>
            <w:u w:val="single"/>
            <w:shd w:val="clear" w:color="auto" w:fill="FFFFFF"/>
          </w:rPr>
          <w:t>data1</w:t>
        </w:r>
        <w:r w:rsidRPr="00F22F71">
          <w:rPr>
            <w:rStyle w:val="Hyperlink"/>
            <w:color w:val="1155CC"/>
            <w:szCs w:val="24"/>
            <w:shd w:val="clear" w:color="auto" w:fill="FFFFFF"/>
          </w:rPr>
          <w:t>.</w:t>
        </w:r>
        <w:r w:rsidRPr="00F22F71">
          <w:rPr>
            <w:rStyle w:val="il"/>
            <w:color w:val="1155CC"/>
            <w:szCs w:val="24"/>
            <w:u w:val="single"/>
            <w:shd w:val="clear" w:color="auto" w:fill="FFFFFF"/>
          </w:rPr>
          <w:t>gfdl</w:t>
        </w:r>
        <w:r w:rsidRPr="00F22F71">
          <w:rPr>
            <w:rStyle w:val="Hyperlink"/>
            <w:color w:val="1155CC"/>
            <w:szCs w:val="24"/>
            <w:shd w:val="clear" w:color="auto" w:fill="FFFFFF"/>
          </w:rPr>
          <w:t>.noaa.gov/users/Sarah.Kapnick/HiMAT/</w:t>
        </w:r>
        <w:r w:rsidRPr="00F22F71">
          <w:rPr>
            <w:rStyle w:val="il"/>
            <w:color w:val="1155CC"/>
            <w:szCs w:val="24"/>
            <w:u w:val="single"/>
            <w:shd w:val="clear" w:color="auto" w:fill="FFFFFF"/>
          </w:rPr>
          <w:t>GFDL</w:t>
        </w:r>
        <w:r w:rsidRPr="00F22F71">
          <w:rPr>
            <w:rStyle w:val="Hyperlink"/>
            <w:color w:val="1155CC"/>
            <w:szCs w:val="24"/>
            <w:shd w:val="clear" w:color="auto" w:fill="FFFFFF"/>
          </w:rPr>
          <w:t>-FLOR/Kirschbaumetal/</w:t>
        </w:r>
      </w:hyperlink>
      <w:r w:rsidRPr="00F22F71">
        <w:rPr>
          <w:szCs w:val="24"/>
        </w:rPr>
        <w:t>. The F</w:t>
      </w:r>
      <w:r w:rsidRPr="001108C1">
        <w:rPr>
          <w:szCs w:val="24"/>
        </w:rPr>
        <w:t xml:space="preserve">LOR model has been previously used to produce precipitation extremes and project </w:t>
      </w:r>
      <w:r w:rsidRPr="001108C1">
        <w:rPr>
          <w:szCs w:val="24"/>
        </w:rPr>
        <w:lastRenderedPageBreak/>
        <w:t>future changes over the United States</w:t>
      </w:r>
      <w:r w:rsidR="00D631EB">
        <w:rPr>
          <w:szCs w:val="24"/>
        </w:rPr>
        <w:t xml:space="preserve"> </w:t>
      </w:r>
      <w:r>
        <w:rPr>
          <w:szCs w:val="24"/>
        </w:rPr>
        <w:fldChar w:fldCharType="begin" w:fldLock="1"/>
      </w:r>
      <w:r w:rsidR="00D631EB">
        <w:rPr>
          <w:szCs w:val="24"/>
        </w:rPr>
        <w:instrText>ADDIN CSL_CITATION {"citationItems":[{"id":"ITEM-1","itemData":{"DOI":"10.1175/JCLI-D-16-0307.1","ISSN":"08948755","abstract":"AbstractPrecipitation extremes have a widespread impact on societies and ecosystems; it is therefore important to understand current and future patterns of extreme precipitation. Here, a set of new global coupled climate models with varying atmospheric resolution has been used to investigate the ability of these models to reproduce observed patterns of precipitation extremes and to investigate changes in these extremes in response to increased atmospheric CO2 concentrations. The atmospheric resolution was increased from 2°×2° grid cells (typical resolution in the CMIP5 archive) to 0.25°×.25° (tropical cyclone-permitting). Analysis has been confined to the contiguous United States (CONUS). It is shown that, for these models, integrating at higher atmospheric resolution improves all aspects of simulated extreme precipitation: spatial patterns, intensities and seasonal timing. In response to 2×CO2 concentrations, all models show a mean intensification of precipitation rates during extreme events of approxima...","author":[{"dropping-particle":"","family":"Wiel","given":"Karin","non-dropping-particle":"van der","parse-names":false,"suffix":""},{"dropping-particle":"","family":"Kapnick","given":"Sarah B.","non-dropping-particle":"","parse-names":false,"suffix":""},{"dropping-particle":"","family":"Vecchi","given":"Gabriel A.","non-dropping-particle":"","parse-names":false,"suffix":""},{"dropping-particle":"","family":"Cooke","given":"William F.","non-dropping-particle":"","parse-names":false,"suffix":""},{"dropping-particle":"","family":"Delworth","given":"Thomas L.","non-dropping-particle":"","parse-names":false,"suffix":""},{"dropping-particle":"","family":"Jia","given":"Liwei","non-dropping-particle":"","parse-names":false,"suffix":""},{"dropping-particle":"","family":"Murakami","given":"Hiroyuki","non-dropping-particle":"","parse-names":false,"suffix":""},{"dropping-particle":"","family":"Underwood","given":"Seth","non-dropping-particle":"","parse-names":false,"suffix":""},{"dropping-particle":"","family":"Zeng","given":"Fanrong","non-dropping-particle":"","parse-names":false,"suffix":""}],"container-title":"Journal of Climate","id":"ITEM-1","issue":"22","issued":{"date-parts":[["2016"]]},"page":"7991-8012","title":"The resolution dependence of contiguous U.S. precipitation extremes in response to CO2 forcing","type":"article-journal","volume":"29"},"uris":["http://www.mendeley.com/documents/?uuid=814184ea-3494-4f28-b567-aa9ea5561218"]}],"mendeley":{"formattedCitation":"(van der Wiel et al., 2016)","plainTextFormattedCitation":"(van der Wiel et al., 2016)","previouslyFormattedCitation":"(van der Wiel et al., 2016)"},"properties":{"noteIndex":0},"schema":"https://github.com/citation-style-language/schema/raw/master/csl-citation.json"}</w:instrText>
      </w:r>
      <w:r>
        <w:rPr>
          <w:szCs w:val="24"/>
        </w:rPr>
        <w:fldChar w:fldCharType="separate"/>
      </w:r>
      <w:r w:rsidR="00D631EB" w:rsidRPr="00D631EB">
        <w:rPr>
          <w:noProof/>
          <w:szCs w:val="24"/>
        </w:rPr>
        <w:t>(van der Wiel et al., 2016)</w:t>
      </w:r>
      <w:r>
        <w:rPr>
          <w:szCs w:val="24"/>
        </w:rPr>
        <w:fldChar w:fldCharType="end"/>
      </w:r>
      <w:r w:rsidRPr="001108C1">
        <w:rPr>
          <w:szCs w:val="24"/>
        </w:rPr>
        <w:t xml:space="preserve">. A similar GCM to FLOR sharing the same 0.5˚ atmosphere and a higher resolution ocean component was previously found to reasonably reproduce the seasonal cycle of precipitation in HMA, a region where GCMs at lower atmospheric resolutions, such as those found in the Coupled Model </w:t>
      </w:r>
      <w:proofErr w:type="spellStart"/>
      <w:r w:rsidRPr="001108C1">
        <w:rPr>
          <w:szCs w:val="24"/>
        </w:rPr>
        <w:t>Intercomparison</w:t>
      </w:r>
      <w:proofErr w:type="spellEnd"/>
      <w:r w:rsidRPr="001108C1">
        <w:rPr>
          <w:szCs w:val="24"/>
        </w:rPr>
        <w:t xml:space="preserve"> Project Phase 5 database, cannot</w:t>
      </w:r>
      <w:r w:rsidR="00D631EB">
        <w:rPr>
          <w:szCs w:val="24"/>
        </w:rPr>
        <w:t xml:space="preserve"> </w:t>
      </w:r>
      <w:r>
        <w:rPr>
          <w:szCs w:val="24"/>
        </w:rPr>
        <w:fldChar w:fldCharType="begin" w:fldLock="1"/>
      </w:r>
      <w:r w:rsidR="00D631EB">
        <w:rPr>
          <w:szCs w:val="24"/>
        </w:rPr>
        <w:instrText>ADDIN CSL_CITATION {"citationItems":[{"id":"ITEM-1","itemData":{"author":[{"dropping-particle":"","family":"Kapnick","given":"Sarah B","non-dropping-particle":"","parse-names":false,"suffix":""},{"dropping-particle":"","family":"Delworth","given":"Thomas L","non-dropping-particle":"","parse-names":false,"suffix":""},{"dropping-particle":"","family":"Ashfaq","given":"Moetasim","non-dropping-particle":"","parse-names":false,"suffix":""},{"dropping-particle":"","family":"Malyshev","given":"Sergey","non-dropping-particle":"","parse-names":false,"suffix":""},{"dropping-particle":"","family":"Milly","given":"P C D","non-dropping-particle":"","parse-names":false,"suffix":""}],"container-title":"Nature Geoscience","id":"ITEM-1","issued":{"date-parts":[["2014","10","12"]]},"page":"834","publisher":"Nature Publishing Group","title":"Snowfall less sensitive to warming in Karakoram than in Himalayas due to a unique seasonal cycle","type":"article-journal","volume":"7"},"uris":["http://www.mendeley.com/documents/?uuid=b3922f9b-b447-4d2c-bd28-45b36056a8f7"]}],"mendeley":{"formattedCitation":"(Kapnick, Delworth, Ashfaq, Malyshev, &amp; Milly, 2014)","manualFormatting":"(Kapnicket al., 2014)","plainTextFormattedCitation":"(Kapnick, Delworth, Ashfaq, Malyshev, &amp; Milly, 2014)","previouslyFormattedCitation":"(Kapnick, Delworth, Ashfaq, Malyshev, &amp; Milly, 2014)"},"properties":{"noteIndex":0},"schema":"https://github.com/citation-style-language/schema/raw/master/csl-citation.json"}</w:instrText>
      </w:r>
      <w:r>
        <w:rPr>
          <w:szCs w:val="24"/>
        </w:rPr>
        <w:fldChar w:fldCharType="separate"/>
      </w:r>
      <w:r w:rsidR="00D631EB" w:rsidRPr="00D631EB">
        <w:rPr>
          <w:noProof/>
          <w:szCs w:val="24"/>
        </w:rPr>
        <w:t>(Kapnick</w:t>
      </w:r>
      <w:r w:rsidR="00D631EB">
        <w:rPr>
          <w:noProof/>
          <w:szCs w:val="24"/>
        </w:rPr>
        <w:t>et al.</w:t>
      </w:r>
      <w:r w:rsidR="00D631EB" w:rsidRPr="00D631EB">
        <w:rPr>
          <w:noProof/>
          <w:szCs w:val="24"/>
        </w:rPr>
        <w:t>, 2014)</w:t>
      </w:r>
      <w:r>
        <w:rPr>
          <w:szCs w:val="24"/>
        </w:rPr>
        <w:fldChar w:fldCharType="end"/>
      </w:r>
      <w:r w:rsidRPr="001108C1">
        <w:rPr>
          <w:szCs w:val="24"/>
        </w:rPr>
        <w:t xml:space="preserve">. Two configurations are used to generate separate simulations to explore precipitation extremes and landslides. </w:t>
      </w:r>
    </w:p>
    <w:p w14:paraId="4716EC1E" w14:textId="77777777" w:rsidR="00810FC9" w:rsidRPr="00593F3D" w:rsidRDefault="00810FC9" w:rsidP="00810FC9"/>
    <w:p w14:paraId="7EAF56E3" w14:textId="2B8F62E8" w:rsidR="00810FC9" w:rsidRDefault="00810FC9" w:rsidP="00810FC9">
      <w:pPr>
        <w:rPr>
          <w:szCs w:val="24"/>
        </w:rPr>
      </w:pPr>
      <w:bookmarkStart w:id="2" w:name="_Hlk16082492"/>
      <w:r w:rsidRPr="001108C1">
        <w:rPr>
          <w:szCs w:val="24"/>
        </w:rPr>
        <w:t>The first set consists of a nudged simulation with the FLOR components (Nudged GCM) to generate output where individual years can be compared directly with remote sensing and observed landslides.</w:t>
      </w:r>
      <w:bookmarkEnd w:id="2"/>
      <w:r w:rsidRPr="001108C1">
        <w:rPr>
          <w:szCs w:val="24"/>
        </w:rPr>
        <w:t xml:space="preserve"> In this configuration, sea surface temperatures (SSTs) were restored to the National Oceanic and Atmospheric Administration (NOAA) optimum interpolation SST (OISST) analysis</w:t>
      </w:r>
      <w:r w:rsidR="00D631EB">
        <w:rPr>
          <w:szCs w:val="24"/>
        </w:rPr>
        <w:t xml:space="preserve"> </w:t>
      </w:r>
      <w:r>
        <w:rPr>
          <w:szCs w:val="24"/>
        </w:rPr>
        <w:fldChar w:fldCharType="begin" w:fldLock="1"/>
      </w:r>
      <w:r w:rsidR="00D631EB">
        <w:rPr>
          <w:szCs w:val="24"/>
        </w:rPr>
        <w:instrText>ADDIN CSL_CITATION {"citationItems":[{"id":"ITEM-1","itemData":{"DOI":"10.1175/1520-0442(2002)015&lt;1609:AIISAS&gt;2.0.CO;2","ISSN":"0894-8755","abstract":"Abstract A weekly 1° spatial resolution optimum interpolation (OI) sea surface temperature (SST) analysis has been produced at the National Oceanic and Atmospheric Administration (NOAA) using both in situ and satellite data from November 1981 to the present. The weekly product has been available since 1993 and is widely used for weather and climate monitoring and forecasting. Errors in the satellite bias correction and the sea ice to SST conversion algorithm are discussed, and then an improved version of the OI analysis is developed. The changes result in a modest reduction in the satellite bias that leaves small global residual biases of roughly ?0.03°C. The major improvement in the analysis occurs at high latitudes due to the new sea ice algorithm where local differences between the old and new analysis can exceed 1°C. Comparisons with other SST products are needed to determine the consistency of the OI. These comparisons show that the differences among products occur on large time- and space scales with monthly rms differences exceeding 0.5°C in some regions. These regions are primarily the mid- and high-latitude Southern Oceans and the Arctic where data are sparse, as well as high-gradient areas such as the Gulf Stream and Kuroshio where the gradients cannot be properly resolved on a 1° grid. In addition, globally averaged differences of roughly 0.05°C occur among the products on decadal scales. These differences primarily arise from the same regions where the rms differences are large. However, smaller unexplained differences also occur in other regions of the midlatitude Northern Hemisphere where in situ data should be adequate.","author":[{"dropping-particle":"","family":"Reynolds","given":"Richard W","non-dropping-particle":"","parse-names":false,"suffix":""},{"dropping-particle":"","family":"Rayner","given":"Nick A","non-dropping-particle":"","parse-names":false,"suffix":""},{"dropping-particle":"","family":"Smith","given":"Thomas M","non-dropping-particle":"","parse-names":false,"suffix":""},{"dropping-particle":"","family":"Stokes","given":"Diane C","non-dropping-particle":"","parse-names":false,"suffix":""},{"dropping-particle":"","family":"Wang","given":"Wanqiu","non-dropping-particle":"","parse-names":false,"suffix":""}],"container-title":"Journal of Climate","id":"ITEM-1","issue":"13","issued":{"date-parts":[["2002","7","1"]]},"note":"doi: 10.1175/1520-0442(2002)0152.0.CO;2","page":"1609-1625","publisher":"American Meteorological Society","title":"An Improved In Situ and Satellite SST Analysis for Climate","type":"article-journal","volume":"15"},"uris":["http://www.mendeley.com/documents/?uuid=655168dc-04b7-4c0f-851f-053b8e3b4aaa"]}],"mendeley":{"formattedCitation":"(Reynolds, Rayner, Smith, Stokes, &amp; Wang, 2002)","manualFormatting":"(Reynolds et al., 2002)","plainTextFormattedCitation":"(Reynolds, Rayner, Smith, Stokes, &amp; Wang, 2002)","previouslyFormattedCitation":"(Reynolds, Rayner, Smith, Stokes, &amp; Wang, 2002)"},"properties":{"noteIndex":0},"schema":"https://github.com/citation-style-language/schema/raw/master/csl-citation.json"}</w:instrText>
      </w:r>
      <w:r>
        <w:rPr>
          <w:szCs w:val="24"/>
        </w:rPr>
        <w:fldChar w:fldCharType="separate"/>
      </w:r>
      <w:r w:rsidR="00D631EB" w:rsidRPr="00D631EB">
        <w:rPr>
          <w:noProof/>
          <w:szCs w:val="24"/>
        </w:rPr>
        <w:t>(Reynolds</w:t>
      </w:r>
      <w:r w:rsidR="00D631EB">
        <w:rPr>
          <w:noProof/>
          <w:szCs w:val="24"/>
        </w:rPr>
        <w:t xml:space="preserve"> et al.</w:t>
      </w:r>
      <w:r w:rsidR="00D631EB" w:rsidRPr="00D631EB">
        <w:rPr>
          <w:noProof/>
          <w:szCs w:val="24"/>
        </w:rPr>
        <w:t>, 2002)</w:t>
      </w:r>
      <w:r>
        <w:rPr>
          <w:szCs w:val="24"/>
        </w:rPr>
        <w:fldChar w:fldCharType="end"/>
      </w:r>
      <w:r>
        <w:rPr>
          <w:szCs w:val="24"/>
        </w:rPr>
        <w:t xml:space="preserve"> </w:t>
      </w:r>
      <w:r w:rsidRPr="001108C1">
        <w:rPr>
          <w:szCs w:val="24"/>
        </w:rPr>
        <w:t>and the atmosphere was nudged with values for surface pressure, three-dimensional temperature and horizontal winds from Modern-Era Retrospective analysis for Research and Applications, Version 2 (MERRA-2) every 6 hours from 1982-2017</w:t>
      </w:r>
      <w:r w:rsidR="00D631EB">
        <w:rPr>
          <w:szCs w:val="24"/>
        </w:rPr>
        <w:t xml:space="preserve"> </w:t>
      </w:r>
      <w:r>
        <w:rPr>
          <w:szCs w:val="24"/>
        </w:rPr>
        <w:fldChar w:fldCharType="begin" w:fldLock="1"/>
      </w:r>
      <w:r w:rsidR="00D631EB">
        <w:rPr>
          <w:szCs w:val="24"/>
        </w:rPr>
        <w:instrText>ADDIN CSL_CITATION {"citationItems":[{"id":"ITEM-1","itemData":{"DOI":"10.1007/s00382-018-4109-3","ISSN":"1432-0894","abstract":"A “typical” El Niño leads to wet (dry) wintertime anomalies over the southern (northern) half of the Western United States (WUS). However, during the strong El Niño of 2015/16, the WUS winter precipitation pattern was roughly opposite to this canonical (average of the record) anomaly pattern. To understand why this happened, and whether it was predictable, we use a suite of high-resolution seasonal prediction experiments with coupled climate models. We find that the unusual 2015/16 precipitation pattern was predictable at zero-lead time horizon when the ocean/atmosphere/land components were initialized with observations. However, when the ocean alone is initialized the coupled model fails to predict the 2015/16 pattern, although ocean initial conditions alone can reproduce the observed WUS precipitation during the 1997/98 strong El Niño. Further observational analysis shows that the amplitudes of the El Niño induced tropical circulation anomalies during 2015/16 were weakened by about 50% relative to those of 1997/98. This was caused by relative cold (warm) anomalies in the eastern (western) tropical Pacific suppressing (enhancing) deep convection anomalies in the eastern (western) tropical Pacific during 2015/16. The reduced El Niño teleconnection led to a weakening of the subtropical westerly jet over the southeast North Pacific and southern WUS, resulting in the unusual 2015/16 winter precipitation pattern over the WUS. This study highlights the importance of initial conditions not only in the ocean, but in the land and atmosphere as well, for predicting the unusual El Niño teleconnection and its influence on the winter WUS precipitation anomalies during 2015/16.","author":[{"dropping-particle":"","family":"Yang","given":"Xiaosong","non-dropping-particle":"","parse-names":false,"suffix":""},{"dropping-particle":"","family":"Jia","given":"Liwei","non-dropping-particle":"","parse-names":false,"suffix":""},{"dropping-particle":"","family":"Kapnick","given":"Sarah B","non-dropping-particle":"","parse-names":false,"suffix":""},{"dropping-particle":"","family":"Delworth","given":"Thomas L","non-dropping-particle":"","parse-names":false,"suffix":""},{"dropping-particle":"","family":"Vecchi","given":"Gabriel A","non-dropping-particle":"","parse-names":false,"suffix":""},{"dropping-particle":"","family":"Gudgel","given":"Rich","non-dropping-particle":"","parse-names":false,"suffix":""},{"dropping-particle":"","family":"Underwood","given":"Seth","non-dropping-particle":"","parse-names":false,"suffix":""},{"dropping-particle":"","family":"Zeng","given":"Fanrong","non-dropping-particle":"","parse-names":false,"suffix":""}],"container-title":"Climate Dynamics","id":"ITEM-1","issue":"9","issued":{"date-parts":[["2018"]]},"page":"3765-3783","title":"On the seasonal prediction of the western United States El Niño precipitation pattern during the 2015/16 winter","type":"article-journal","volume":"51"},"uris":["http://www.mendeley.com/documents/?uuid=83e60ac0-66bb-4805-9bfd-3966533d5704"]}],"mendeley":{"formattedCitation":"(Yang et al., 2018)","plainTextFormattedCitation":"(Yang et al., 2018)","previouslyFormattedCitation":"(Yang et al., 2018)"},"properties":{"noteIndex":0},"schema":"https://github.com/citation-style-language/schema/raw/master/csl-citation.json"}</w:instrText>
      </w:r>
      <w:r>
        <w:rPr>
          <w:szCs w:val="24"/>
        </w:rPr>
        <w:fldChar w:fldCharType="separate"/>
      </w:r>
      <w:r w:rsidR="00D631EB" w:rsidRPr="00D631EB">
        <w:rPr>
          <w:noProof/>
          <w:szCs w:val="24"/>
        </w:rPr>
        <w:t>(Yang et al., 2018)</w:t>
      </w:r>
      <w:r>
        <w:rPr>
          <w:szCs w:val="24"/>
        </w:rPr>
        <w:fldChar w:fldCharType="end"/>
      </w:r>
      <w:r w:rsidRPr="001108C1">
        <w:rPr>
          <w:szCs w:val="24"/>
        </w:rPr>
        <w:t>. The Nudged GCM output is critical for validating present</w:t>
      </w:r>
      <w:r>
        <w:rPr>
          <w:szCs w:val="24"/>
        </w:rPr>
        <w:t>-</w:t>
      </w:r>
      <w:r w:rsidRPr="001108C1">
        <w:rPr>
          <w:szCs w:val="24"/>
        </w:rPr>
        <w:t xml:space="preserve">day landslide hazards generated from simulated daily precipitation values. </w:t>
      </w:r>
    </w:p>
    <w:p w14:paraId="07E4C3ED" w14:textId="77777777" w:rsidR="00810FC9" w:rsidRDefault="00810FC9" w:rsidP="00810FC9">
      <w:pPr>
        <w:rPr>
          <w:szCs w:val="24"/>
        </w:rPr>
      </w:pPr>
    </w:p>
    <w:p w14:paraId="1A148744" w14:textId="7F40BCA3" w:rsidR="00810FC9" w:rsidRPr="00810FC9" w:rsidRDefault="00810FC9" w:rsidP="00810FC9">
      <w:pPr>
        <w:rPr>
          <w:szCs w:val="24"/>
        </w:rPr>
      </w:pPr>
      <w:r w:rsidRPr="001108C1">
        <w:rPr>
          <w:szCs w:val="24"/>
        </w:rPr>
        <w:t>This analysis provides a bridge to conducting climate change simulations of landslides using the GCM Ensemble using the fully coupled version of FLOR to project future climate.</w:t>
      </w:r>
      <w:bookmarkStart w:id="3" w:name="_Hlk16082586"/>
      <w:r>
        <w:rPr>
          <w:szCs w:val="24"/>
        </w:rPr>
        <w:t xml:space="preserve"> A</w:t>
      </w:r>
      <w:r w:rsidRPr="00810FC9">
        <w:rPr>
          <w:szCs w:val="24"/>
        </w:rPr>
        <w:t xml:space="preserve"> 30-member ensemble (GCM Ensemble)</w:t>
      </w:r>
      <w:r w:rsidR="00D631EB">
        <w:rPr>
          <w:szCs w:val="24"/>
        </w:rPr>
        <w:t xml:space="preserve"> </w:t>
      </w:r>
      <w:r w:rsidRPr="00810FC9">
        <w:rPr>
          <w:szCs w:val="24"/>
        </w:rPr>
        <w:fldChar w:fldCharType="begin" w:fldLock="1"/>
      </w:r>
      <w:r w:rsidR="00D631EB">
        <w:rPr>
          <w:szCs w:val="24"/>
        </w:rPr>
        <w:instrText>ADDIN CSL_CITATION {"citationItems":[{"id":"ITEM-1","itemData":{"DOI":"10.1175/JCLI-D-17-0366.1","ISSN":"0894-8755","abstract":"AbstractRegional hydroclimate changes on decadal time scales contain substantial natural variability. This presents a challenge for the detection of anthropogenically forced hydroclimate changes on these spatiotemporal scales because the signal of anthropogenic changes is modest, compared to the noise of natural variability. However, previous studies have shown that this signal-to-noise ratio can be greatly improved in a large model ensemble where each member contains the same signal but different noise. Here, using multiple state-of-the-art large ensembles from two climate models, the authors quantitatively assess the detectability of anthropogenically caused decadal shifts in precipitation-minus-evaporation (PmE) mean state against natural variability, focusing on North America during 2000?50. Anthropogenic forcing is projected to cause detectable (signal larger than noise) shifts in PmE mean state relative to the 1950?99 climatology over 50%?70% of North America by 2050. The earliest detectable signals include, during November?April, a moistening over northeastern North America and a drying over southwestern North America and, during May?October, a drying over central North America. Different processes are responsible for these signals. Changes in submonthly transient eddy moisture fluxes account for the northeastern moistening and central drying, while monthly atmospheric circulation changes explain the southwestern drying. These model findings suggest that despite the dominant role of natural internal variability on decadal time scales, anthropogenic shifts in PmE mean state can be detected over most of North America before the middle of the current century.","author":[{"dropping-particle":"","family":"Zhang","given":"Honghai","non-dropping-particle":"","parse-names":false,"suffix":""},{"dropping-particle":"","family":"Delworth","given":"Thomas L","non-dropping-particle":"","parse-names":false,"suffix":""}],"container-title":"Journal of Climate","id":"ITEM-1","issue":"7","issued":{"date-parts":[["2018","1","10"]]},"note":"doi: 10.1175/JCLI-D-17-0366.1","page":"2579-2597","publisher":"American Meteorological Society","title":"Detectability of Decadal Anthropogenic Hydroclimate Changes over North America","type":"article-journal","volume":"31"},"uris":["http://www.mendeley.com/documents/?uuid=d085441b-ab32-4927-b83c-aca3d7db2606"]}],"mendeley":{"formattedCitation":"(Zhang &amp; Delworth, 2018)","plainTextFormattedCitation":"(Zhang &amp; Delworth, 2018)","previouslyFormattedCitation":"(Zhang &amp; Delworth, 2018)"},"properties":{"noteIndex":0},"schema":"https://github.com/citation-style-language/schema/raw/master/csl-citation.json"}</w:instrText>
      </w:r>
      <w:r w:rsidRPr="00810FC9">
        <w:rPr>
          <w:szCs w:val="24"/>
        </w:rPr>
        <w:fldChar w:fldCharType="separate"/>
      </w:r>
      <w:r w:rsidR="00D631EB" w:rsidRPr="00D631EB">
        <w:rPr>
          <w:noProof/>
          <w:szCs w:val="24"/>
        </w:rPr>
        <w:t>(Zhang &amp; Delworth, 2018)</w:t>
      </w:r>
      <w:r w:rsidRPr="00810FC9">
        <w:rPr>
          <w:szCs w:val="24"/>
        </w:rPr>
        <w:fldChar w:fldCharType="end"/>
      </w:r>
      <w:r w:rsidRPr="00810FC9">
        <w:rPr>
          <w:szCs w:val="24"/>
        </w:rPr>
        <w:t xml:space="preserve"> using historical radiative forcing and projected </w:t>
      </w:r>
      <w:proofErr w:type="spellStart"/>
      <w:r w:rsidRPr="00810FC9">
        <w:rPr>
          <w:szCs w:val="24"/>
        </w:rPr>
        <w:t>forcings</w:t>
      </w:r>
      <w:proofErr w:type="spellEnd"/>
      <w:r w:rsidRPr="00810FC9">
        <w:rPr>
          <w:szCs w:val="24"/>
        </w:rPr>
        <w:t xml:space="preserve"> from the </w:t>
      </w:r>
      <w:r w:rsidR="00D631EB">
        <w:rPr>
          <w:szCs w:val="24"/>
        </w:rPr>
        <w:t>R</w:t>
      </w:r>
      <w:r w:rsidRPr="00810FC9">
        <w:rPr>
          <w:szCs w:val="24"/>
        </w:rPr>
        <w:t xml:space="preserve">epresentative </w:t>
      </w:r>
      <w:r w:rsidR="00D631EB">
        <w:rPr>
          <w:szCs w:val="24"/>
        </w:rPr>
        <w:t>C</w:t>
      </w:r>
      <w:r w:rsidRPr="00810FC9">
        <w:rPr>
          <w:szCs w:val="24"/>
        </w:rPr>
        <w:t xml:space="preserve">ontribution </w:t>
      </w:r>
      <w:r w:rsidR="00D631EB">
        <w:rPr>
          <w:szCs w:val="24"/>
        </w:rPr>
        <w:t>P</w:t>
      </w:r>
      <w:r w:rsidRPr="00810FC9">
        <w:rPr>
          <w:szCs w:val="24"/>
        </w:rPr>
        <w:t>athway 8.5 (RCP8.5) are used to force a fully coupled configuration of FLOR.</w:t>
      </w:r>
      <w:r w:rsidRPr="001108C1">
        <w:rPr>
          <w:szCs w:val="24"/>
        </w:rPr>
        <w:t xml:space="preserve"> </w:t>
      </w:r>
      <w:bookmarkEnd w:id="3"/>
      <w:r w:rsidRPr="001108C1">
        <w:rPr>
          <w:szCs w:val="24"/>
        </w:rPr>
        <w:t xml:space="preserve">The individual ensemble members differ in their initial conditions at year 1920, generated by choosing different start years from a control simulation of year 1920 where radiative </w:t>
      </w:r>
      <w:proofErr w:type="spellStart"/>
      <w:r w:rsidRPr="001108C1">
        <w:rPr>
          <w:szCs w:val="24"/>
        </w:rPr>
        <w:t>forcings</w:t>
      </w:r>
      <w:proofErr w:type="spellEnd"/>
      <w:r w:rsidRPr="001108C1">
        <w:rPr>
          <w:szCs w:val="24"/>
        </w:rPr>
        <w:t xml:space="preserve"> are held fixed.  </w:t>
      </w:r>
      <w:bookmarkStart w:id="4" w:name="_Hlk16082670"/>
    </w:p>
    <w:bookmarkEnd w:id="4"/>
    <w:p w14:paraId="32051BB9" w14:textId="77777777" w:rsidR="00810FC9" w:rsidRDefault="00810FC9" w:rsidP="00810FC9">
      <w:pPr>
        <w:rPr>
          <w:szCs w:val="24"/>
        </w:rPr>
      </w:pPr>
    </w:p>
    <w:p w14:paraId="28021DB1" w14:textId="75EA28E6" w:rsidR="00810FC9" w:rsidRDefault="00810FC9" w:rsidP="00810FC9">
      <w:pPr>
        <w:rPr>
          <w:szCs w:val="24"/>
        </w:rPr>
      </w:pPr>
      <w:r w:rsidRPr="001108C1">
        <w:rPr>
          <w:szCs w:val="24"/>
        </w:rPr>
        <w:t>The TMPA product is developed using an international constellation of microwave and infrared instruments to produce 3-hourly, near real-time estimates of precipitation from 50˚N-S from 2000 to the present.</w:t>
      </w:r>
      <w:r>
        <w:rPr>
          <w:szCs w:val="24"/>
        </w:rPr>
        <w:t xml:space="preserve"> The data is available at 0.</w:t>
      </w:r>
      <w:r w:rsidRPr="00593F3D">
        <w:rPr>
          <w:szCs w:val="24"/>
        </w:rPr>
        <w:t xml:space="preserve">25-degree resolution and is </w:t>
      </w:r>
      <w:proofErr w:type="spellStart"/>
      <w:r w:rsidRPr="00593F3D">
        <w:rPr>
          <w:szCs w:val="24"/>
        </w:rPr>
        <w:t>publically</w:t>
      </w:r>
      <w:proofErr w:type="spellEnd"/>
      <w:r>
        <w:rPr>
          <w:szCs w:val="24"/>
        </w:rPr>
        <w:t xml:space="preserve"> available at </w:t>
      </w:r>
      <w:hyperlink r:id="rId10" w:history="1">
        <w:r w:rsidRPr="00BB679C">
          <w:rPr>
            <w:rStyle w:val="Hyperlink"/>
            <w:szCs w:val="24"/>
          </w:rPr>
          <w:t>https://pmm.nasa.gov/</w:t>
        </w:r>
      </w:hyperlink>
      <w:r>
        <w:rPr>
          <w:szCs w:val="24"/>
        </w:rPr>
        <w:t xml:space="preserve">. While the </w:t>
      </w:r>
      <w:bookmarkStart w:id="5" w:name="_Hlk16083161"/>
      <w:r>
        <w:rPr>
          <w:szCs w:val="24"/>
        </w:rPr>
        <w:t xml:space="preserve">Global Precipitation Measurement (GPM) </w:t>
      </w:r>
      <w:r w:rsidRPr="00A02627">
        <w:rPr>
          <w:szCs w:val="24"/>
        </w:rPr>
        <w:t>GPM Integrated Multi-Satellite Retrievals for GPM (IMERG</w:t>
      </w:r>
      <w:r w:rsidR="00D631EB">
        <w:rPr>
          <w:szCs w:val="24"/>
        </w:rPr>
        <w:t xml:space="preserve">; </w:t>
      </w:r>
      <w:r w:rsidR="00D631EB">
        <w:rPr>
          <w:szCs w:val="24"/>
        </w:rPr>
        <w:fldChar w:fldCharType="begin" w:fldLock="1"/>
      </w:r>
      <w:r w:rsidR="00D631EB">
        <w:rPr>
          <w:szCs w:val="24"/>
        </w:rPr>
        <w:instrText>ADDIN CSL_CITATION {"citationItems":[{"id":"ITEM-1","itemData":{"author":[{"dropping-particle":"","family":"Huffman","given":"George J","non-dropping-particle":"","parse-names":false,"suffix":""},{"dropping-particle":"","family":"Bolvin","given":"David T.","non-dropping-particle":"","parse-names":false,"suffix":""},{"dropping-particle":"","family":"Braithwaite","given":"Dan","non-dropping-particle":"","parse-names":false,"suffix":""},{"dropping-particle":"","family":"Hsu","given":"Kuolin","non-dropping-particle":"","parse-names":false,"suffix":""},{"dropping-particle":"","family":"Joyce","given":"R J","non-dropping-particle":"","parse-names":false,"suffix":""},{"dropping-particle":"","family":"Xie","given":"Pingping","non-dropping-particle":"","parse-names":false,"suffix":""}],"id":"ITEM-1","issue":"Version 5.2","issued":{"date-parts":[["2018"]]},"number-of-pages":"35","title":"Algorithm Theoretical Basis Document (ATBD) for NASA Global Precipitation Measurement (GPM) Integrated Multi-satellitE Retrievals for GPM (IMERG) v5.2","type":"report"},"uris":["http://www.mendeley.com/documents/?uuid=a77652f7-a667-43bd-9fb4-9f2496f08a6c"]}],"mendeley":{"formattedCitation":"(Huffman et al., 2018)","plainTextFormattedCitation":"(Huffman et al., 2018)","previouslyFormattedCitation":"(Huffman et al., 2018)"},"properties":{"noteIndex":0},"schema":"https://github.com/citation-style-language/schema/raw/master/csl-citation.json"}</w:instrText>
      </w:r>
      <w:r w:rsidR="00D631EB">
        <w:rPr>
          <w:szCs w:val="24"/>
        </w:rPr>
        <w:fldChar w:fldCharType="separate"/>
      </w:r>
      <w:r w:rsidR="00D631EB" w:rsidRPr="00D631EB">
        <w:rPr>
          <w:noProof/>
          <w:szCs w:val="24"/>
        </w:rPr>
        <w:t>(Huffman et al., 2018)</w:t>
      </w:r>
      <w:r w:rsidR="00D631EB">
        <w:rPr>
          <w:szCs w:val="24"/>
        </w:rPr>
        <w:fldChar w:fldCharType="end"/>
      </w:r>
      <w:r>
        <w:rPr>
          <w:szCs w:val="24"/>
        </w:rPr>
        <w:t xml:space="preserve"> product is not considered in this analysis due to the absence of a long record (though one will be anticipated in 2019), the IMERG data is used to force the near real-time LHASA mode.</w:t>
      </w:r>
      <w:bookmarkEnd w:id="5"/>
      <w:r>
        <w:rPr>
          <w:szCs w:val="24"/>
        </w:rPr>
        <w:t xml:space="preserve"> These data are available at </w:t>
      </w:r>
      <w:hyperlink r:id="rId11" w:history="1">
        <w:r w:rsidRPr="00690BD1">
          <w:rPr>
            <w:rStyle w:val="Hyperlink"/>
            <w:szCs w:val="24"/>
          </w:rPr>
          <w:t>https://pmm.nasa.gov/precip-apps</w:t>
        </w:r>
      </w:hyperlink>
      <w:r>
        <w:rPr>
          <w:szCs w:val="24"/>
        </w:rPr>
        <w:t>.</w:t>
      </w:r>
    </w:p>
    <w:p w14:paraId="307916EB" w14:textId="307104DF" w:rsidR="00810FC9" w:rsidRDefault="00810FC9" w:rsidP="00810FC9">
      <w:pPr>
        <w:rPr>
          <w:szCs w:val="24"/>
        </w:rPr>
      </w:pPr>
    </w:p>
    <w:p w14:paraId="3F31C075" w14:textId="6C834633" w:rsidR="00F22F71" w:rsidRDefault="00F22F71" w:rsidP="00F22F71">
      <w:pPr>
        <w:rPr>
          <w:b/>
          <w:szCs w:val="24"/>
        </w:rPr>
      </w:pPr>
      <w:r>
        <w:rPr>
          <w:b/>
          <w:szCs w:val="24"/>
        </w:rPr>
        <w:t xml:space="preserve">Table S1. </w:t>
      </w:r>
      <w:r w:rsidRPr="00F22F71">
        <w:rPr>
          <w:bCs/>
          <w:szCs w:val="24"/>
        </w:rPr>
        <w:t>Precipitation Products Considered</w:t>
      </w:r>
    </w:p>
    <w:p w14:paraId="72B11B5F" w14:textId="4587B0C9" w:rsidR="00F22F71" w:rsidRDefault="00F22F71" w:rsidP="00F22F71">
      <w:pPr>
        <w:rPr>
          <w:szCs w:val="24"/>
        </w:rPr>
      </w:pPr>
      <w:bookmarkStart w:id="6" w:name="_e1c66pfx27tw"/>
      <w:bookmarkStart w:id="7" w:name="_8vvafktlojd1"/>
      <w:bookmarkEnd w:id="6"/>
      <w:bookmarkEnd w:id="7"/>
      <w:r>
        <w:rPr>
          <w:noProof/>
          <w:szCs w:val="24"/>
        </w:rPr>
        <w:drawing>
          <wp:inline distT="0" distB="0" distL="0" distR="0" wp14:anchorId="0FE42A26" wp14:editId="12D5EBD9">
            <wp:extent cx="5486400" cy="1267460"/>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r="10794"/>
                    <a:stretch>
                      <a:fillRect/>
                    </a:stretch>
                  </pic:blipFill>
                  <pic:spPr bwMode="auto">
                    <a:xfrm>
                      <a:off x="0" y="0"/>
                      <a:ext cx="5486400" cy="1267460"/>
                    </a:xfrm>
                    <a:prstGeom prst="rect">
                      <a:avLst/>
                    </a:prstGeom>
                    <a:noFill/>
                    <a:ln>
                      <a:noFill/>
                    </a:ln>
                  </pic:spPr>
                </pic:pic>
              </a:graphicData>
            </a:graphic>
          </wp:inline>
        </w:drawing>
      </w:r>
    </w:p>
    <w:p w14:paraId="6E3D715F" w14:textId="77777777" w:rsidR="00F22DEB" w:rsidRDefault="00F22DEB" w:rsidP="00F22F71">
      <w:pPr>
        <w:rPr>
          <w:szCs w:val="24"/>
        </w:rPr>
      </w:pPr>
    </w:p>
    <w:p w14:paraId="0195F12E" w14:textId="28054BE6" w:rsidR="002856B6" w:rsidRDefault="002856B6" w:rsidP="00F22F71">
      <w:pPr>
        <w:rPr>
          <w:szCs w:val="24"/>
        </w:rPr>
      </w:pPr>
      <w:r>
        <w:rPr>
          <w:szCs w:val="24"/>
        </w:rPr>
        <w:t xml:space="preserve">The projected population data for 2100 was </w:t>
      </w:r>
      <w:r w:rsidRPr="001108C1">
        <w:rPr>
          <w:szCs w:val="24"/>
        </w:rPr>
        <w:t xml:space="preserve">evaluated for </w:t>
      </w:r>
      <w:r>
        <w:rPr>
          <w:szCs w:val="24"/>
        </w:rPr>
        <w:t>five</w:t>
      </w:r>
      <w:r w:rsidRPr="001108C1">
        <w:rPr>
          <w:szCs w:val="24"/>
        </w:rPr>
        <w:t xml:space="preserve"> socioeconomic pathways (SSPs) from the Global Population Projection Grids Based on Shared Socioeconomic Pathways dataset</w:t>
      </w:r>
      <w:r>
        <w:rPr>
          <w:szCs w:val="24"/>
        </w:rPr>
        <w:t xml:space="preserve"> </w:t>
      </w:r>
      <w:r>
        <w:rPr>
          <w:szCs w:val="24"/>
        </w:rPr>
        <w:fldChar w:fldCharType="begin" w:fldLock="1"/>
      </w:r>
      <w:r>
        <w:rPr>
          <w:szCs w:val="24"/>
        </w:rPr>
        <w:instrText>ADDIN CSL_CITATION {"citationItems":[{"id":"ITEM-1","itemData":{"DOI":"doi.org/10.1088/1748-9326/11/8/084003","author":[{"dropping-particle":"","family":"Jones","given":"B","non-dropping-particle":"","parse-names":false,"suffix":""},{"dropping-particle":"","family":"O'Neill","given":"B C","non-dropping-particle":"","parse-names":false,"suffix":""}],"container-title":"Environmental Research Letters2","id":"ITEM-1","issue":"084003","issued":{"date-parts":[["2016"]]},"title":"Spatially Explicit Global Population Scenarios Consistent with the Shared Socioeconomic Pathways","type":"article-journal","volume":"11"},"uris":["http://www.mendeley.com/documents/?uuid=13a847a6-ec0d-45e9-a6bf-bf0bed6ff705"]}],"mendeley":{"formattedCitation":"(Jones &amp; O’Neill, 2016)","plainTextFormattedCitation":"(Jones &amp; O’Neill, 2016)","previouslyFormattedCitation":"(Jones &amp; O’Neill, 2016)"},"properties":{"noteIndex":0},"schema":"https://github.com/citation-style-language/schema/raw/master/csl-citation.json"}</w:instrText>
      </w:r>
      <w:r>
        <w:rPr>
          <w:szCs w:val="24"/>
        </w:rPr>
        <w:fldChar w:fldCharType="separate"/>
      </w:r>
      <w:r w:rsidRPr="00BE156B">
        <w:rPr>
          <w:noProof/>
          <w:szCs w:val="24"/>
        </w:rPr>
        <w:t>(Jones &amp; O’Neill, 2016)</w:t>
      </w:r>
      <w:r>
        <w:rPr>
          <w:szCs w:val="24"/>
        </w:rPr>
        <w:fldChar w:fldCharType="end"/>
      </w:r>
      <w:r w:rsidRPr="001108C1">
        <w:rPr>
          <w:szCs w:val="24"/>
        </w:rPr>
        <w:t>.</w:t>
      </w:r>
      <w:r>
        <w:rPr>
          <w:szCs w:val="24"/>
        </w:rPr>
        <w:t xml:space="preserve"> </w:t>
      </w:r>
      <w:r w:rsidR="009D5042">
        <w:rPr>
          <w:szCs w:val="24"/>
        </w:rPr>
        <w:t>The SSPs provide five different baselines for potential population, technological and economic growth based that are largely driven by variations in climate policies. In this study, we consider the projected population changes only t</w:t>
      </w:r>
      <w:r w:rsidR="00486221">
        <w:rPr>
          <w:szCs w:val="24"/>
        </w:rPr>
        <w:t xml:space="preserve">o </w:t>
      </w:r>
      <w:r w:rsidR="009D5042">
        <w:rPr>
          <w:szCs w:val="24"/>
        </w:rPr>
        <w:t xml:space="preserve">specifically </w:t>
      </w:r>
      <w:r w:rsidR="00486221">
        <w:rPr>
          <w:szCs w:val="24"/>
        </w:rPr>
        <w:t>evaluate the potential change in populate exposure to landslide activity</w:t>
      </w:r>
      <w:r w:rsidR="009D5042">
        <w:rPr>
          <w:szCs w:val="24"/>
        </w:rPr>
        <w:t xml:space="preserve"> at the end of the century. To do this</w:t>
      </w:r>
      <w:r w:rsidR="00486221">
        <w:rPr>
          <w:szCs w:val="24"/>
        </w:rPr>
        <w:t xml:space="preserve">, we compare the intersection of the forecasted potential landslide changes to that of population change at each grid cell across the study area. </w:t>
      </w:r>
      <w:r w:rsidR="00486221" w:rsidRPr="001108C1">
        <w:rPr>
          <w:szCs w:val="24"/>
        </w:rPr>
        <w:t xml:space="preserve">We </w:t>
      </w:r>
      <w:r w:rsidR="00486221">
        <w:rPr>
          <w:szCs w:val="24"/>
        </w:rPr>
        <w:t xml:space="preserve">then aggregate this information across the study area and classify the percent change in landslide potential </w:t>
      </w:r>
      <w:r w:rsidR="00486221" w:rsidRPr="001108C1">
        <w:rPr>
          <w:szCs w:val="24"/>
        </w:rPr>
        <w:t>into 10% bins.</w:t>
      </w:r>
      <w:r w:rsidR="00486221">
        <w:rPr>
          <w:szCs w:val="24"/>
        </w:rPr>
        <w:t xml:space="preserve"> Results are shown in Fig 4 in the manuscript.</w:t>
      </w:r>
    </w:p>
    <w:p w14:paraId="31CD0088" w14:textId="77777777" w:rsidR="00810FC9" w:rsidRPr="00810FC9" w:rsidRDefault="00810FC9" w:rsidP="00810FC9">
      <w:pPr>
        <w:rPr>
          <w:rFonts w:ascii="Myriad Pro" w:hAnsi="Myriad Pro"/>
          <w:b/>
          <w:i/>
          <w:sz w:val="22"/>
          <w:szCs w:val="22"/>
        </w:rPr>
      </w:pPr>
    </w:p>
    <w:p w14:paraId="673A2B0A" w14:textId="08CC2D07" w:rsidR="00810FC9" w:rsidRPr="00810FC9" w:rsidRDefault="00810FC9" w:rsidP="00810FC9">
      <w:pPr>
        <w:rPr>
          <w:rFonts w:ascii="Myriad Pro" w:hAnsi="Myriad Pro"/>
          <w:b/>
          <w:iCs/>
          <w:sz w:val="22"/>
          <w:szCs w:val="22"/>
        </w:rPr>
      </w:pPr>
      <w:r w:rsidRPr="00810FC9">
        <w:rPr>
          <w:rFonts w:ascii="Myriad Pro" w:hAnsi="Myriad Pro"/>
          <w:b/>
          <w:iCs/>
          <w:sz w:val="22"/>
          <w:szCs w:val="22"/>
        </w:rPr>
        <w:t>Text S2. Distributions of Extreme Precipitation</w:t>
      </w:r>
      <w:r w:rsidRPr="00810FC9">
        <w:rPr>
          <w:rFonts w:ascii="Myriad Pro" w:hAnsi="Myriad Pro"/>
          <w:iCs/>
          <w:sz w:val="22"/>
          <w:szCs w:val="22"/>
        </w:rPr>
        <w:t xml:space="preserve"> </w:t>
      </w:r>
      <w:bookmarkStart w:id="8" w:name="_rp18h1wwc9f" w:colFirst="0" w:colLast="0"/>
      <w:bookmarkEnd w:id="8"/>
    </w:p>
    <w:p w14:paraId="33CF5293" w14:textId="77777777" w:rsidR="00810FC9" w:rsidRDefault="00810FC9" w:rsidP="00810FC9">
      <w:pPr>
        <w:spacing w:line="256" w:lineRule="auto"/>
        <w:rPr>
          <w:szCs w:val="24"/>
        </w:rPr>
      </w:pPr>
      <w:bookmarkStart w:id="9" w:name="_luphw71tx7jz" w:colFirst="0" w:colLast="0"/>
      <w:bookmarkEnd w:id="9"/>
    </w:p>
    <w:p w14:paraId="3D9208BB" w14:textId="34AEE384" w:rsidR="00810FC9" w:rsidRPr="001108C1" w:rsidRDefault="00810FC9" w:rsidP="00810FC9">
      <w:pPr>
        <w:spacing w:line="256" w:lineRule="auto"/>
        <w:rPr>
          <w:szCs w:val="24"/>
        </w:rPr>
      </w:pPr>
      <w:r w:rsidRPr="001108C1">
        <w:rPr>
          <w:szCs w:val="24"/>
        </w:rPr>
        <w:t>The HMA region of focus in this study (i.e., our study area) is that with the highest number of landslides along the Himalayan foothills and mountains, which correspond to location</w:t>
      </w:r>
      <w:r>
        <w:rPr>
          <w:szCs w:val="24"/>
        </w:rPr>
        <w:t>s featuring very steep terrain</w:t>
      </w:r>
      <w:r w:rsidRPr="001108C1">
        <w:rPr>
          <w:szCs w:val="24"/>
        </w:rPr>
        <w:t xml:space="preserve"> (</w:t>
      </w:r>
      <w:r>
        <w:rPr>
          <w:szCs w:val="24"/>
        </w:rPr>
        <w:t xml:space="preserve">Main manuscript, </w:t>
      </w:r>
      <w:r w:rsidRPr="001108C1">
        <w:rPr>
          <w:szCs w:val="24"/>
        </w:rPr>
        <w:t xml:space="preserve">Fig. 1). The analysis of daily precipitation extremes </w:t>
      </w:r>
      <w:r>
        <w:rPr>
          <w:szCs w:val="24"/>
        </w:rPr>
        <w:t>in FLOR is therefore restricted</w:t>
      </w:r>
      <w:r w:rsidRPr="001108C1">
        <w:rPr>
          <w:szCs w:val="24"/>
        </w:rPr>
        <w:t xml:space="preserve"> to only those grid-points with a slope threshold of 0.6 </w:t>
      </w:r>
      <w:r>
        <w:rPr>
          <w:szCs w:val="24"/>
        </w:rPr>
        <w:t>degrees</w:t>
      </w:r>
      <w:r w:rsidRPr="001108C1">
        <w:rPr>
          <w:szCs w:val="24"/>
        </w:rPr>
        <w:t xml:space="preserve">. While somewhat arbitrary, this choice effectively selects a band of grid points along the zone of rapid elevation increase where most landslides take place (Fig. 1). This study area, originally defined on the FLOR horizontal grid, is then re-gridded onto the TMPA horizontal grid using the nearest-neighbor method. </w:t>
      </w:r>
    </w:p>
    <w:p w14:paraId="1E5EF30E" w14:textId="77777777" w:rsidR="007E7B6C" w:rsidRDefault="00810FC9" w:rsidP="00810FC9">
      <w:pPr>
        <w:rPr>
          <w:szCs w:val="24"/>
        </w:rPr>
      </w:pPr>
      <w:bookmarkStart w:id="10" w:name="_zih6ei6xx63r" w:colFirst="0" w:colLast="0"/>
      <w:bookmarkEnd w:id="10"/>
      <w:r w:rsidRPr="001108C1">
        <w:rPr>
          <w:szCs w:val="24"/>
        </w:rPr>
        <w:t xml:space="preserve">To characterize the probability distribution of daily </w:t>
      </w:r>
      <w:r>
        <w:rPr>
          <w:szCs w:val="24"/>
        </w:rPr>
        <w:t>precipitation</w:t>
      </w:r>
      <w:r w:rsidRPr="001108C1">
        <w:rPr>
          <w:szCs w:val="24"/>
        </w:rPr>
        <w:t>, we take the daily precipitation amounts occurring during the winter November-April (NDJFMA) and summer May-October (MJJASO). We consider all the grid</w:t>
      </w:r>
      <w:r>
        <w:rPr>
          <w:szCs w:val="24"/>
        </w:rPr>
        <w:t>-</w:t>
      </w:r>
      <w:r w:rsidRPr="001108C1">
        <w:rPr>
          <w:szCs w:val="24"/>
        </w:rPr>
        <w:t xml:space="preserve">points within the study area without area-averaging, and for the FLOR ensemble, all 30 ensemble members. An empirical probability distribution function (histogram) is then obtained by computing the density function for each value within a discrete daily precipitation amounts array (bin of 0.5 mm/day). </w:t>
      </w:r>
    </w:p>
    <w:p w14:paraId="60C12CDA" w14:textId="77777777" w:rsidR="007E7B6C" w:rsidRDefault="007E7B6C" w:rsidP="00810FC9">
      <w:pPr>
        <w:rPr>
          <w:szCs w:val="24"/>
        </w:rPr>
      </w:pPr>
    </w:p>
    <w:p w14:paraId="2665CF91" w14:textId="506C7ABE" w:rsidR="00810FC9" w:rsidRDefault="002174D5" w:rsidP="00810FC9">
      <w:pPr>
        <w:rPr>
          <w:szCs w:val="24"/>
        </w:rPr>
      </w:pPr>
      <w:r>
        <w:rPr>
          <w:szCs w:val="24"/>
        </w:rPr>
        <w:t xml:space="preserve">Results indicate that the precipitation distributions for winter precipitation does not align as closely with the TMPA product, which may be due to several factors. First, the TRMM instruments are specifically designed to measure moderate to heavy rainfall and fails to resolve falling snow and light rain processes. This may serve to underestimate the precipitation from winter westerlies. </w:t>
      </w:r>
      <w:r w:rsidR="005A6653">
        <w:rPr>
          <w:szCs w:val="24"/>
        </w:rPr>
        <w:t xml:space="preserve">Second there are challenges with accurate retrievals with ice clouds over snow and ice surfaces. </w:t>
      </w:r>
      <w:r w:rsidR="00F96B34">
        <w:rPr>
          <w:szCs w:val="24"/>
        </w:rPr>
        <w:t>For the FLOR ensembles, the microphysics relating to frozen precipitation may require further adjustment to reduce bias over complex terrain</w:t>
      </w:r>
      <w:r w:rsidR="00247AB2">
        <w:rPr>
          <w:szCs w:val="24"/>
        </w:rPr>
        <w:t xml:space="preserve"> (e.g. </w:t>
      </w:r>
      <w:proofErr w:type="spellStart"/>
      <w:r w:rsidR="00247AB2" w:rsidRPr="00247AB2">
        <w:rPr>
          <w:szCs w:val="24"/>
        </w:rPr>
        <w:t>Pavelsky</w:t>
      </w:r>
      <w:proofErr w:type="spellEnd"/>
      <w:r w:rsidR="00247AB2">
        <w:rPr>
          <w:szCs w:val="24"/>
        </w:rPr>
        <w:t xml:space="preserve"> et al., 2012)</w:t>
      </w:r>
      <w:r w:rsidR="00F96B34">
        <w:rPr>
          <w:szCs w:val="24"/>
        </w:rPr>
        <w:t>.</w:t>
      </w:r>
      <w:r w:rsidR="007E7B6C">
        <w:rPr>
          <w:szCs w:val="24"/>
        </w:rPr>
        <w:t xml:space="preserve"> These issues are areas of active research with new satellite products such as the Global Precipitation Measurement (GPM) mission as well as model analyses.</w:t>
      </w:r>
    </w:p>
    <w:p w14:paraId="0A5A71B7" w14:textId="77777777" w:rsidR="007D1D2F" w:rsidRPr="001108C1" w:rsidRDefault="007D1D2F" w:rsidP="00810FC9">
      <w:pPr>
        <w:rPr>
          <w:szCs w:val="24"/>
        </w:rPr>
      </w:pPr>
    </w:p>
    <w:p w14:paraId="7164580D" w14:textId="03F8B6AA" w:rsidR="007D1D2F" w:rsidRDefault="007D1D2F" w:rsidP="007D1D2F">
      <w:r>
        <w:t xml:space="preserve">For additional verification of the differences in distributions of precipitation extremes, we also calculated quantile-quantile plots for the present and future precipitation values in the FLOR model and TMPA. The closer the individual points are to the y=x line (plotted as a dotted line), the closer the distributions are to each other. In the present climate </w:t>
      </w:r>
      <w:r>
        <w:lastRenderedPageBreak/>
        <w:t>comparisons, the FLOR Ensemble simulations diverge the most from TMPA at the highest values (Fig. S1a, S2a); this is an expected outcome given the shorter TMPA record. They have relatively good agreement at lower values, particularly in summer (Fig. S1a). Some of the difference in distributions in winter (Fig. S2a) may be due to lower accuracy of TMPA in winter due to retrieval issues over snow and biases in capturing frozen precipitation</w:t>
      </w:r>
      <w:r w:rsidR="00D631EB">
        <w:t xml:space="preserve"> </w:t>
      </w:r>
      <w:r>
        <w:fldChar w:fldCharType="begin" w:fldLock="1"/>
      </w:r>
      <w:r w:rsidR="00D631EB">
        <w:instrText>ADDIN CSL_CITATION {"citationItems":[{"id":"ITEM-1","itemData":{"DOI":"10.1029/2011GC003513","ISSN":"1525-2027","abstract":"Precipitation is one of the main factors which controls surface processes and landscape morphology. Large orogenic belts such as the Himalayas control precipitation distribution as a result of orographic effects due to their prominent relief. However, precipitation is difficult to monitor because mountain regions are largely inaccessible and therefore not sufficiently covered by ground-based gauge stations. The complexity of orographic effects resulting from the interaction between elevation and climatic processes and the lack of precise meteorological data thus limit our understanding of climatic influence on landscape formation. Therefore, high-quality precipitation observations with good spatiotemporal coverage are needed. Here we evaluate five gridded precipitation data sets derived from remote sensing and interpolation of rain gauge data with ground-based precipitation measurements. First, we evaluate the bulk error of each data set, then we evaluate the temporal quality of data within five watersheds, and last we compare the spatial performance along seven swath profiles across strike to the Himalayan range in Nepal. Our evaluation shows that the data sets vary significantly along the orographic front and get more consistent toward the adjacent low-relief domains, while bulk errors are largest during monsoon season. In particular, where topographic gradients are important, the resolution of gridded data sets cannot incorporate small-scale spatial changes of precipitation. We show that the data set derived from interpolation of gauge data performs best in the Himalayas. This study gives an overview on the applicability of precipitation data sets within the Himalayan orographic domains where relief has a pronounced impact on precipitation.","author":[{"dropping-particle":"","family":"Andermann","given":"C","non-dropping-particle":"","parse-names":false,"suffix":""},{"dropping-particle":"","family":"Bonnet","given":"S","non-dropping-particle":"","parse-names":false,"suffix":""},{"dropping-particle":"","family":"Gloaguen","given":"R","non-dropping-particle":"","parse-names":false,"suffix":""}],"container-title":"Geochemistry, Geophysics, Geosystems","id":"ITEM-1","issue":"7","issued":{"date-parts":[["2011","7","1"]]},"note":"doi: 10.1029/2011GC003513","publisher":"John Wiley &amp; Sons, Ltd","title":"Evaluation of precipitation data sets along the Himalayan front","type":"article-journal","volume":"12"},"uris":["http://www.mendeley.com/documents/?uuid=a8826f48-72af-4f0a-87c7-31ebb0ead3e2"]}],"mendeley":{"formattedCitation":"(Andermann, Bonnet, &amp; Gloaguen, 2011)","manualFormatting":"(Andermann et al., 2011)","plainTextFormattedCitation":"(Andermann, Bonnet, &amp; Gloaguen, 2011)","previouslyFormattedCitation":"(Andermann, Bonnet, &amp; Gloaguen, 2011)"},"properties":{"noteIndex":0},"schema":"https://github.com/citation-style-language/schema/raw/master/csl-citation.json"}</w:instrText>
      </w:r>
      <w:r>
        <w:fldChar w:fldCharType="separate"/>
      </w:r>
      <w:r w:rsidR="00D631EB" w:rsidRPr="00D631EB">
        <w:rPr>
          <w:noProof/>
        </w:rPr>
        <w:t>(Andermann</w:t>
      </w:r>
      <w:r w:rsidR="00D631EB">
        <w:rPr>
          <w:noProof/>
        </w:rPr>
        <w:t xml:space="preserve"> et al.</w:t>
      </w:r>
      <w:r w:rsidR="00D631EB" w:rsidRPr="00D631EB">
        <w:rPr>
          <w:noProof/>
        </w:rPr>
        <w:t>, 2011)</w:t>
      </w:r>
      <w:r>
        <w:fldChar w:fldCharType="end"/>
      </w:r>
      <w:r>
        <w:t xml:space="preserve">. The FLOR nudged simulations and FLOR Ensemble present climate (1961-2000) simulations similarly are not perfectly matched, especially at higher values, which can be attributed to slightly different periods being compared with differences in radiative forcing during the time periods of coverage and longer record of the FLOR Ensemble. </w:t>
      </w:r>
    </w:p>
    <w:p w14:paraId="2463D271" w14:textId="77777777" w:rsidR="007D1D2F" w:rsidRDefault="007D1D2F" w:rsidP="007D1D2F"/>
    <w:p w14:paraId="3192DDD0" w14:textId="77777777" w:rsidR="007D1D2F" w:rsidRDefault="007D1D2F" w:rsidP="007D1D2F">
      <w:pPr>
        <w:rPr>
          <w:sz w:val="22"/>
        </w:rPr>
      </w:pPr>
      <w:r>
        <w:t xml:space="preserve">In the present versus future comparisons (Figs. S1b, S2b), the distributions are similar at lower values, but diverge as values become more extreme. This is particularly pronounced during the summer (Fig. S1b).  </w:t>
      </w:r>
    </w:p>
    <w:p w14:paraId="6A544E66" w14:textId="0D1601DD" w:rsidR="007D1D2F" w:rsidRDefault="007D1D2F" w:rsidP="007D1D2F">
      <w:r>
        <w:rPr>
          <w:noProof/>
        </w:rPr>
        <w:drawing>
          <wp:inline distT="0" distB="0" distL="0" distR="0" wp14:anchorId="4B764463" wp14:editId="09C60762">
            <wp:extent cx="5486400" cy="21526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86400" cy="2152650"/>
                    </a:xfrm>
                    <a:prstGeom prst="rect">
                      <a:avLst/>
                    </a:prstGeom>
                    <a:noFill/>
                    <a:ln>
                      <a:noFill/>
                    </a:ln>
                  </pic:spPr>
                </pic:pic>
              </a:graphicData>
            </a:graphic>
          </wp:inline>
        </w:drawing>
      </w:r>
    </w:p>
    <w:p w14:paraId="3F509717" w14:textId="77777777" w:rsidR="007D1D2F" w:rsidRDefault="007D1D2F" w:rsidP="007D1D2F">
      <w:r>
        <w:rPr>
          <w:b/>
        </w:rPr>
        <w:t>Figure S1:</w:t>
      </w:r>
      <w:r>
        <w:t xml:space="preserve"> Quantile-quantile plots for various summer season precipitation extremes in estimates of (a) the present climate, including TMPA, FLOR nudged, and FLOR Ensemble for the present climate 1961-2000 and (b) the FLOR present climate (1961-2000) versus the future climate (2061-2100). </w:t>
      </w:r>
    </w:p>
    <w:p w14:paraId="11C126C0" w14:textId="4FA0D001" w:rsidR="007D1D2F" w:rsidRDefault="007D1D2F" w:rsidP="007D1D2F">
      <w:r>
        <w:rPr>
          <w:noProof/>
        </w:rPr>
        <w:drawing>
          <wp:inline distT="0" distB="0" distL="0" distR="0" wp14:anchorId="132A6382" wp14:editId="7D58B83C">
            <wp:extent cx="5476875" cy="21717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76875" cy="2171700"/>
                    </a:xfrm>
                    <a:prstGeom prst="rect">
                      <a:avLst/>
                    </a:prstGeom>
                    <a:noFill/>
                    <a:ln>
                      <a:noFill/>
                    </a:ln>
                  </pic:spPr>
                </pic:pic>
              </a:graphicData>
            </a:graphic>
          </wp:inline>
        </w:drawing>
      </w:r>
    </w:p>
    <w:p w14:paraId="39F83B9D" w14:textId="77777777" w:rsidR="007D1D2F" w:rsidRDefault="007D1D2F" w:rsidP="007D1D2F">
      <w:r>
        <w:rPr>
          <w:b/>
        </w:rPr>
        <w:t>Figure S2:</w:t>
      </w:r>
      <w:r>
        <w:t xml:space="preserve"> Same as Fig. S1, but for the winter season.</w:t>
      </w:r>
    </w:p>
    <w:p w14:paraId="16928DE1" w14:textId="77777777" w:rsidR="00F22F71" w:rsidRDefault="00F22F71" w:rsidP="007D1D2F"/>
    <w:p w14:paraId="0313C1CB" w14:textId="75EF7A51" w:rsidR="007D1D2F" w:rsidRDefault="007D1D2F" w:rsidP="007D1D2F">
      <w:r>
        <w:t xml:space="preserve">The analysis of potential landslide activity was also compared between winter and summer months considering both current and future conditions, which is highlighted in </w:t>
      </w:r>
      <w:r>
        <w:lastRenderedPageBreak/>
        <w:t>Figure S3. Results indicate the most significant changes in potential activity will occur during the summer months due to the intense monsoon rains that occur during this period.</w:t>
      </w:r>
    </w:p>
    <w:p w14:paraId="27FE2E5D" w14:textId="6F095733" w:rsidR="007D1D2F" w:rsidRDefault="007D1D2F" w:rsidP="007D1D2F">
      <w:pPr>
        <w:rPr>
          <w:b/>
          <w:szCs w:val="24"/>
        </w:rPr>
      </w:pPr>
      <w:r>
        <w:rPr>
          <w:b/>
          <w:noProof/>
          <w:szCs w:val="24"/>
        </w:rPr>
        <w:drawing>
          <wp:inline distT="0" distB="0" distL="0" distR="0" wp14:anchorId="5C382806" wp14:editId="682F0616">
            <wp:extent cx="5486400" cy="42557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0" cy="4255770"/>
                    </a:xfrm>
                    <a:prstGeom prst="rect">
                      <a:avLst/>
                    </a:prstGeom>
                    <a:noFill/>
                    <a:ln>
                      <a:noFill/>
                    </a:ln>
                  </pic:spPr>
                </pic:pic>
              </a:graphicData>
            </a:graphic>
          </wp:inline>
        </w:drawing>
      </w:r>
    </w:p>
    <w:p w14:paraId="5D45604E" w14:textId="5EF36C87" w:rsidR="007D1D2F" w:rsidRDefault="007D1D2F" w:rsidP="007D1D2F">
      <w:pPr>
        <w:rPr>
          <w:szCs w:val="24"/>
        </w:rPr>
      </w:pPr>
      <w:r>
        <w:rPr>
          <w:b/>
          <w:szCs w:val="24"/>
        </w:rPr>
        <w:t xml:space="preserve">Figure S3: </w:t>
      </w:r>
      <w:r>
        <w:rPr>
          <w:szCs w:val="24"/>
        </w:rPr>
        <w:t>Percent change in potential landslide activity for the future scenario (2061-2100) relative to baseline conditions for present scenario (1961-2000) for a) summer and b) winter months.</w:t>
      </w:r>
    </w:p>
    <w:p w14:paraId="1BCCCD62" w14:textId="471536AF" w:rsidR="00315369" w:rsidRDefault="00315369" w:rsidP="00661B70">
      <w:pPr>
        <w:pStyle w:val="SMHeading"/>
      </w:pPr>
      <w:r>
        <w:t>Text S3: Glacial Lake Dynamics</w:t>
      </w:r>
    </w:p>
    <w:p w14:paraId="2A412338" w14:textId="35157810" w:rsidR="00D631EB" w:rsidRDefault="00315369" w:rsidP="007D1D2F">
      <w:pPr>
        <w:rPr>
          <w:szCs w:val="24"/>
        </w:rPr>
      </w:pPr>
      <w:r>
        <w:rPr>
          <w:szCs w:val="24"/>
        </w:rPr>
        <w:t>The study finding that landslide frequency may increase within areas of current glacial lakes has implications for how these glacial systems may respond</w:t>
      </w:r>
      <w:r w:rsidR="007B2700">
        <w:rPr>
          <w:szCs w:val="24"/>
        </w:rPr>
        <w:t>.</w:t>
      </w:r>
      <w:r>
        <w:rPr>
          <w:szCs w:val="24"/>
        </w:rPr>
        <w:t xml:space="preserve"> One consideration in the </w:t>
      </w:r>
      <w:r w:rsidRPr="001108C1">
        <w:rPr>
          <w:szCs w:val="24"/>
        </w:rPr>
        <w:t>future scenario of rapidly retreating glaciers</w:t>
      </w:r>
      <w:r>
        <w:rPr>
          <w:szCs w:val="24"/>
        </w:rPr>
        <w:t xml:space="preserve"> </w:t>
      </w:r>
      <w:r w:rsidRPr="001108C1">
        <w:rPr>
          <w:szCs w:val="24"/>
        </w:rPr>
        <w:t xml:space="preserve">is the presence of more runoff. Today, landslides may block rivers and create artificial lakes. In the future, glaciers may generate more meltwater, leading to larger lakes and greater opportunities for </w:t>
      </w:r>
      <w:r>
        <w:rPr>
          <w:szCs w:val="24"/>
        </w:rPr>
        <w:t xml:space="preserve">landslide generated dams of </w:t>
      </w:r>
      <w:r w:rsidRPr="001108C1">
        <w:rPr>
          <w:szCs w:val="24"/>
        </w:rPr>
        <w:t>lakes or rivers</w:t>
      </w:r>
      <w:r>
        <w:rPr>
          <w:szCs w:val="24"/>
        </w:rPr>
        <w:t xml:space="preserve"> </w:t>
      </w:r>
      <w:r>
        <w:rPr>
          <w:szCs w:val="24"/>
        </w:rPr>
        <w:fldChar w:fldCharType="begin" w:fldLock="1"/>
      </w:r>
      <w:r>
        <w:rPr>
          <w:szCs w:val="24"/>
        </w:rPr>
        <w:instrText>ADDIN CSL_CITATION {"citationItems":[{"id":"ITEM-1","itemData":{"DOI":"10.1016/J.GLOPLACHA.2015.05.013","ISSN":"0921-8181","abstract":"No glacial lake census exists for the Third Pole region, which includes the Pamir-Hindu Kush-Karakoram-Himalayas and the Tibetan Plateau. Therefore, comprehensive information is lacking about the distribution of and changes in glacial lakes caused by current global warming conditions. In this study, the first glacial lake inventories for the Third Pole were conducted for ~1990, 2000, and 2010 using Landsat TM/ETM+ data. Glacial lake spatial distributions, corresponding areas and temporal changes were examined. The significant results are as follows. (1) There were 4602, 4981, and 5701 glacial lakes (&gt;0.003km2) covering areas of 553.9±90, 581.2±97, and 682.4±110km2 in ~1990, 2000, and 2010, respectively; these lakes are primarily located in the Brahmaputra (39%), Indus (28%), and Amu Darya (10%) basins. (2) Small lakes (&lt;0.2km2) are more sensitive to climate changes. (3) Lakes closer to glaciers and at higher altitudes, particularly those connected to glacier termini, have undergone larger area changes. (4) Glacier-fed lakes are dominant in both quantity and area (&gt;70%) and exhibit faster expansion trends overall compared to non-glacier-fed lakes. We conclude that glacier meltwater may play a dominant role in the areal expansion of most glacial lakes in the Third Pole. In addition, the patterns of the glacier-fed lakes correspond well with warming temperature trends and negative glacier mass balance patterns. This paper presents an important database of glacial lakes and provides a basis for long-term monitoring and evaluation of outburst flood disasters primarily caused by glacial lakes in the Third Pole.","author":[{"dropping-particle":"","family":"Zhang","given":"Guoqing","non-dropping-particle":"","parse-names":false,"suffix":""},{"dropping-particle":"","family":"Yao","given":"Tandong","non-dropping-particle":"","parse-names":false,"suffix":""},{"dropping-particle":"","family":"Xie","given":"Hongjie","non-dropping-particle":"","parse-names":false,"suffix":""},{"dropping-particle":"","family":"Wang","given":"Weicai","non-dropping-particle":"","parse-names":false,"suffix":""},{"dropping-particle":"","family":"Yang","given":"Wei","non-dropping-particle":"","parse-names":false,"suffix":""}],"container-title":"Global and Planetary Change","id":"ITEM-1","issued":{"date-parts":[["2015","8","1"]]},"page":"148-157","publisher":"Elsevier","title":"An inventory of glacial lakes in the Third Pole region and their changes in response to global warming","type":"article-journal","volume":"131"},"uris":["http://www.mendeley.com/documents/?uuid=766e84a5-3103-326e-b05e-b85c7b035fad"]},{"id":"ITEM-2","itemData":{"DOI":"10.1016/J.RSE.2016.11.008","ISSN":"0034-4257","abstract":"The Himalaya, the world's highest mountain ranges, are home to a large group of glaciers and glacial lakes. Glacial lake outburst floods (GLOFs) in this region have resulted in catastrophic damages and fatalities in the past decades. The recent warming has caused dramatic glacial lake changes and increased potential GLOF risk in the Himalaya. However, our knowledge on the current state and change of glacial lakes in the entire Himalaya is limited. This study maps the current (2015) distribution of glacial lakes across the entire Himalaya and monitors the spatially-explicit evolution of glacial lakes over five time periods from 1990 to 2015 using a total of 348 Landsat images at 30m resolution. The results show that 4950 glacial lakes in 2015 cover a total area of 455.3±72.7km2, mainly located between 4000m and 5700m above sea level. Himalayan glacial lakes expanded by approximately 14.1% from 1990 to 2015. The changing patterns of supraglacial lakes and proglacial lakes are rather complex, involving both lake disappearance and emergence. Many emergent glacial lakes are found at higher elevations, especially the new proglacial lakes, which have formed as a result of glacier retreat. Spatially heterogeneous changes of Himalayan glacial lakes are observed, with the most significant expansion occurring in the southern slopes of the central Himalaya. Increasing glacier meltwater induced by the Himalayan atmospheric warming is a primary cause for the observed lake expansion. This study provides primary data for future GLOF risk assessments. A total of 118 rapidly expanded glacial lakes are identified as potential vulnerable lakes for the priority of risk assessment.","author":[{"dropping-particle":"","family":"Nie","given":"Yong","non-dropping-particle":"","parse-names":false,"suffix":""},{"dropping-particle":"","family":"Sheng","given":"Yongwei","non-dropping-particle":"","parse-names":false,"suffix":""},{"dropping-particle":"","family":"Liu","given":"Qiao","non-dropping-particle":"","parse-names":false,"suffix":""},{"dropping-particle":"","family":"Liu","given":"Linshan","non-dropping-particle":"","parse-names":false,"suffix":""},{"dropping-particle":"","family":"Liu","given":"Shiyin","non-dropping-particle":"","parse-names":false,"suffix":""},{"dropping-particle":"","family":"Zhang","given":"Yili","non-dropping-particle":"","parse-names":false,"suffix":""},{"dropping-particle":"","family":"Song","given":"Chunqiao","non-dropping-particle":"","parse-names":false,"suffix":""}],"container-title":"Remote Sensing of Environment","id":"ITEM-2","issued":{"date-parts":[["2017","2","1"]]},"page":"1-13","publisher":"Elsevier","title":"A regional-scale assessment of Himalayan glacial lake changes using satellite observations from 1990 to 2015","type":"article-journal","volume":"189"},"uris":["http://www.mendeley.com/documents/?uuid=78531f0d-dca4-3e8f-8b21-b4b5481b1f2c"]}],"mendeley":{"formattedCitation":"(Nie et al., 2017; G. Zhang, Yao, Xie, Wang, &amp; Yang, 2015)","manualFormatting":"(Nie et al., 2017; Zhang et al., 2015)","plainTextFormattedCitation":"(Nie et al., 2017; G. Zhang, Yao, Xie, Wang, &amp; Yang, 2015)","previouslyFormattedCitation":"(Nie et al., 2017; G. Zhang, Yao, Xie, Wang, &amp; Yang, 2015)"},"properties":{"noteIndex":0},"schema":"https://github.com/citation-style-language/schema/raw/master/csl-citation.json"}</w:instrText>
      </w:r>
      <w:r>
        <w:rPr>
          <w:szCs w:val="24"/>
        </w:rPr>
        <w:fldChar w:fldCharType="separate"/>
      </w:r>
      <w:r w:rsidRPr="00BE156B">
        <w:rPr>
          <w:noProof/>
          <w:szCs w:val="24"/>
        </w:rPr>
        <w:t>(Nie et al., 2017; Zhang</w:t>
      </w:r>
      <w:r>
        <w:rPr>
          <w:noProof/>
          <w:szCs w:val="24"/>
        </w:rPr>
        <w:t xml:space="preserve"> et al.</w:t>
      </w:r>
      <w:r w:rsidRPr="00BE156B">
        <w:rPr>
          <w:noProof/>
          <w:szCs w:val="24"/>
        </w:rPr>
        <w:t>, 2015)</w:t>
      </w:r>
      <w:r>
        <w:rPr>
          <w:szCs w:val="24"/>
        </w:rPr>
        <w:fldChar w:fldCharType="end"/>
      </w:r>
      <w:r w:rsidRPr="001108C1">
        <w:rPr>
          <w:szCs w:val="24"/>
        </w:rPr>
        <w:t>. Conversely, meltwater may decrease due to smaller glacial volumes</w:t>
      </w:r>
      <w:r>
        <w:rPr>
          <w:szCs w:val="24"/>
        </w:rPr>
        <w:t>,</w:t>
      </w:r>
      <w:r w:rsidRPr="001108C1">
        <w:rPr>
          <w:szCs w:val="24"/>
        </w:rPr>
        <w:t xml:space="preserve"> which could minimize these impacts by causing smaller glacial lakes. </w:t>
      </w:r>
      <w:r>
        <w:rPr>
          <w:szCs w:val="24"/>
        </w:rPr>
        <w:t>While studies shows continued mass loss from glaciers, the projected onset of peak meltwater can significantly vary by region and climate change scenarios (IPCC, 2014).</w:t>
      </w:r>
      <w:r w:rsidR="007B2700">
        <w:rPr>
          <w:szCs w:val="24"/>
        </w:rPr>
        <w:t xml:space="preserve"> </w:t>
      </w:r>
      <w:r w:rsidR="005C4540">
        <w:rPr>
          <w:szCs w:val="24"/>
        </w:rPr>
        <w:t>The meltwater coming from these changing glaciers can also be considered as a benefit to communities within HMA who rely on the fresh water for consumption (Jones et al. 2018).</w:t>
      </w:r>
    </w:p>
    <w:p w14:paraId="1319B7D5" w14:textId="77777777" w:rsidR="00315369" w:rsidRDefault="00315369" w:rsidP="007D1D2F">
      <w:pPr>
        <w:rPr>
          <w:szCs w:val="24"/>
        </w:rPr>
      </w:pPr>
    </w:p>
    <w:p w14:paraId="1D5D9A18" w14:textId="1077A4A8" w:rsidR="00D631EB" w:rsidRPr="00D631EB" w:rsidRDefault="00D631EB" w:rsidP="007D1D2F">
      <w:pPr>
        <w:rPr>
          <w:b/>
          <w:bCs/>
          <w:szCs w:val="24"/>
        </w:rPr>
      </w:pPr>
      <w:r w:rsidRPr="00D631EB">
        <w:rPr>
          <w:b/>
          <w:bCs/>
          <w:szCs w:val="24"/>
        </w:rPr>
        <w:t>References</w:t>
      </w:r>
    </w:p>
    <w:p w14:paraId="563B4DFB" w14:textId="3C9C6DAA" w:rsidR="00D631EB" w:rsidRPr="00D631EB" w:rsidRDefault="00D631EB" w:rsidP="00D631EB">
      <w:pPr>
        <w:widowControl w:val="0"/>
        <w:autoSpaceDE w:val="0"/>
        <w:autoSpaceDN w:val="0"/>
        <w:adjustRightInd w:val="0"/>
        <w:ind w:left="480" w:hanging="480"/>
        <w:rPr>
          <w:noProof/>
          <w:szCs w:val="24"/>
        </w:rPr>
      </w:pPr>
      <w:r>
        <w:rPr>
          <w:b/>
          <w:szCs w:val="24"/>
        </w:rPr>
        <w:fldChar w:fldCharType="begin" w:fldLock="1"/>
      </w:r>
      <w:r>
        <w:rPr>
          <w:b/>
          <w:szCs w:val="24"/>
        </w:rPr>
        <w:instrText xml:space="preserve">ADDIN Mendeley Bibliography CSL_BIBLIOGRAPHY </w:instrText>
      </w:r>
      <w:r>
        <w:rPr>
          <w:b/>
          <w:szCs w:val="24"/>
        </w:rPr>
        <w:fldChar w:fldCharType="separate"/>
      </w:r>
      <w:r w:rsidRPr="00D631EB">
        <w:rPr>
          <w:noProof/>
          <w:szCs w:val="24"/>
        </w:rPr>
        <w:t xml:space="preserve">Andermann, C., Bonnet, S., &amp; Gloaguen, R. (2011). Evaluation of precipitation data sets </w:t>
      </w:r>
      <w:r w:rsidRPr="00D631EB">
        <w:rPr>
          <w:noProof/>
          <w:szCs w:val="24"/>
        </w:rPr>
        <w:lastRenderedPageBreak/>
        <w:t xml:space="preserve">along the Himalayan front. </w:t>
      </w:r>
      <w:r w:rsidRPr="00D631EB">
        <w:rPr>
          <w:i/>
          <w:iCs/>
          <w:noProof/>
          <w:szCs w:val="24"/>
        </w:rPr>
        <w:t>Geochemistry, Geophysics, Geosystems</w:t>
      </w:r>
      <w:r w:rsidRPr="00D631EB">
        <w:rPr>
          <w:noProof/>
          <w:szCs w:val="24"/>
        </w:rPr>
        <w:t xml:space="preserve">, </w:t>
      </w:r>
      <w:r w:rsidRPr="00D631EB">
        <w:rPr>
          <w:i/>
          <w:iCs/>
          <w:noProof/>
          <w:szCs w:val="24"/>
        </w:rPr>
        <w:t>12</w:t>
      </w:r>
      <w:r w:rsidRPr="00D631EB">
        <w:rPr>
          <w:noProof/>
          <w:szCs w:val="24"/>
        </w:rPr>
        <w:t>(7). https://doi.org/10.1029/2011GC003513</w:t>
      </w:r>
    </w:p>
    <w:p w14:paraId="3C2B829B" w14:textId="77777777" w:rsidR="00D631EB" w:rsidRPr="00D631EB" w:rsidRDefault="00D631EB" w:rsidP="00D631EB">
      <w:pPr>
        <w:widowControl w:val="0"/>
        <w:autoSpaceDE w:val="0"/>
        <w:autoSpaceDN w:val="0"/>
        <w:adjustRightInd w:val="0"/>
        <w:ind w:left="480" w:hanging="480"/>
        <w:rPr>
          <w:noProof/>
          <w:szCs w:val="24"/>
        </w:rPr>
      </w:pPr>
      <w:r w:rsidRPr="00D631EB">
        <w:rPr>
          <w:noProof/>
          <w:szCs w:val="24"/>
        </w:rPr>
        <w:t xml:space="preserve">Huffman, G. J., Bolvin, D. T., Braithwaite, D., Hsu, K., Joyce, R. J., &amp; Xie, P. (2018). </w:t>
      </w:r>
      <w:r w:rsidRPr="00D631EB">
        <w:rPr>
          <w:i/>
          <w:iCs/>
          <w:noProof/>
          <w:szCs w:val="24"/>
        </w:rPr>
        <w:t>Algorithm Theoretical Basis Document (ATBD) for NASA Global Precipitation Measurement (GPM) Integrated Multi-satellitE Retrievals for GPM (IMERG) v5.2</w:t>
      </w:r>
      <w:r w:rsidRPr="00D631EB">
        <w:rPr>
          <w:noProof/>
          <w:szCs w:val="24"/>
        </w:rPr>
        <w:t>. Retrieved from https://pmm.nasa.gov/sites/default/files/document_files/IMERG_ATBD_V5.2_0.pdf</w:t>
      </w:r>
    </w:p>
    <w:p w14:paraId="189021C5" w14:textId="36BC8D26" w:rsidR="00FD22C8" w:rsidRPr="00FD22C8" w:rsidRDefault="00FD22C8" w:rsidP="00661B70">
      <w:pPr>
        <w:ind w:left="480" w:hanging="480"/>
        <w:rPr>
          <w:szCs w:val="24"/>
        </w:rPr>
      </w:pPr>
      <w:r w:rsidRPr="00FD22C8">
        <w:rPr>
          <w:szCs w:val="24"/>
        </w:rPr>
        <w:t xml:space="preserve">Jones, D. B., Harrison, S., Anderson, K., Selley, H. L., Wood, J. L., and Betts, R. A. (2018). The distribution and hydrological significance of rock glaciers in the Nepalese Himalaya. </w:t>
      </w:r>
      <w:r w:rsidRPr="00FD22C8">
        <w:rPr>
          <w:i/>
          <w:iCs/>
          <w:szCs w:val="24"/>
        </w:rPr>
        <w:t>Glob. Planet. Change</w:t>
      </w:r>
      <w:r w:rsidRPr="00FD22C8">
        <w:rPr>
          <w:szCs w:val="24"/>
        </w:rPr>
        <w:t xml:space="preserve"> 160, 123–142. https://doi.org/10.1016/j.gloplacha.2017.11.005.</w:t>
      </w:r>
    </w:p>
    <w:p w14:paraId="5F5651A8" w14:textId="77777777" w:rsidR="00685857" w:rsidRPr="00966B4E" w:rsidRDefault="00685857" w:rsidP="00685857">
      <w:pPr>
        <w:widowControl w:val="0"/>
        <w:autoSpaceDE w:val="0"/>
        <w:autoSpaceDN w:val="0"/>
        <w:adjustRightInd w:val="0"/>
        <w:ind w:left="480" w:hanging="480"/>
        <w:rPr>
          <w:noProof/>
          <w:szCs w:val="24"/>
        </w:rPr>
      </w:pPr>
      <w:r w:rsidRPr="00966B4E">
        <w:rPr>
          <w:noProof/>
          <w:szCs w:val="24"/>
        </w:rPr>
        <w:t xml:space="preserve">Jones, B., &amp; O’Neill, B. C. (2016). Spatially Explicit Global Population Scenarios Consistent with the Shared Socioeconomic Pathways. </w:t>
      </w:r>
      <w:r w:rsidRPr="00966B4E">
        <w:rPr>
          <w:i/>
          <w:iCs/>
          <w:noProof/>
          <w:szCs w:val="24"/>
        </w:rPr>
        <w:t>Environmental Research Letters2</w:t>
      </w:r>
      <w:r w:rsidRPr="00966B4E">
        <w:rPr>
          <w:noProof/>
          <w:szCs w:val="24"/>
        </w:rPr>
        <w:t xml:space="preserve">, </w:t>
      </w:r>
      <w:r w:rsidRPr="00966B4E">
        <w:rPr>
          <w:i/>
          <w:iCs/>
          <w:noProof/>
          <w:szCs w:val="24"/>
        </w:rPr>
        <w:t>11</w:t>
      </w:r>
      <w:r w:rsidRPr="00966B4E">
        <w:rPr>
          <w:noProof/>
          <w:szCs w:val="24"/>
        </w:rPr>
        <w:t>(084003). https://doi.org/doi.org/10.1088/1748-9326/11/8/084003</w:t>
      </w:r>
    </w:p>
    <w:p w14:paraId="6C3E47C7" w14:textId="431ADBA6" w:rsidR="00D631EB" w:rsidRPr="00D631EB" w:rsidRDefault="00D631EB" w:rsidP="00D631EB">
      <w:pPr>
        <w:widowControl w:val="0"/>
        <w:autoSpaceDE w:val="0"/>
        <w:autoSpaceDN w:val="0"/>
        <w:adjustRightInd w:val="0"/>
        <w:ind w:left="480" w:hanging="480"/>
        <w:rPr>
          <w:noProof/>
          <w:szCs w:val="24"/>
        </w:rPr>
      </w:pPr>
      <w:r w:rsidRPr="00D631EB">
        <w:rPr>
          <w:noProof/>
          <w:szCs w:val="24"/>
        </w:rPr>
        <w:t xml:space="preserve">Kapnick, S. B., Delworth, T. L., Ashfaq, M., Malyshev, S., &amp; Milly, P. C. D. (2014). Snowfall less sensitive to warming in Karakoram than in Himalayas due to a unique seasonal cycle. </w:t>
      </w:r>
      <w:r w:rsidRPr="00D631EB">
        <w:rPr>
          <w:i/>
          <w:iCs/>
          <w:noProof/>
          <w:szCs w:val="24"/>
        </w:rPr>
        <w:t>Nature Geoscience</w:t>
      </w:r>
      <w:r w:rsidRPr="00D631EB">
        <w:rPr>
          <w:noProof/>
          <w:szCs w:val="24"/>
        </w:rPr>
        <w:t xml:space="preserve">, </w:t>
      </w:r>
      <w:r w:rsidRPr="00D631EB">
        <w:rPr>
          <w:i/>
          <w:iCs/>
          <w:noProof/>
          <w:szCs w:val="24"/>
        </w:rPr>
        <w:t>7</w:t>
      </w:r>
      <w:r w:rsidRPr="00D631EB">
        <w:rPr>
          <w:noProof/>
          <w:szCs w:val="24"/>
        </w:rPr>
        <w:t>, 834. Retrieved from https://doi.org/10.1038/ngeo2269</w:t>
      </w:r>
    </w:p>
    <w:p w14:paraId="3C08E472" w14:textId="77777777" w:rsidR="00FD22C8" w:rsidRDefault="00FD22C8" w:rsidP="00FD22C8">
      <w:pPr>
        <w:widowControl w:val="0"/>
        <w:autoSpaceDE w:val="0"/>
        <w:autoSpaceDN w:val="0"/>
        <w:adjustRightInd w:val="0"/>
        <w:ind w:left="480" w:hanging="480"/>
        <w:rPr>
          <w:noProof/>
          <w:szCs w:val="24"/>
        </w:rPr>
      </w:pPr>
      <w:r w:rsidRPr="00966B4E">
        <w:rPr>
          <w:noProof/>
          <w:szCs w:val="24"/>
        </w:rPr>
        <w:t xml:space="preserve">Nie, Y., Sheng, Y., Liu, Q., Liu, L., Liu, S., Zhang, Y., &amp; Song, C. (2017). A regional-scale assessment of Himalayan glacial lake changes using satellite observations from 1990 to 2015. </w:t>
      </w:r>
      <w:r w:rsidRPr="00966B4E">
        <w:rPr>
          <w:i/>
          <w:iCs/>
          <w:noProof/>
          <w:szCs w:val="24"/>
        </w:rPr>
        <w:t>Remote Sensing of Environment</w:t>
      </w:r>
      <w:r w:rsidRPr="00966B4E">
        <w:rPr>
          <w:noProof/>
          <w:szCs w:val="24"/>
        </w:rPr>
        <w:t xml:space="preserve">, </w:t>
      </w:r>
      <w:r w:rsidRPr="00966B4E">
        <w:rPr>
          <w:i/>
          <w:iCs/>
          <w:noProof/>
          <w:szCs w:val="24"/>
        </w:rPr>
        <w:t>189</w:t>
      </w:r>
      <w:r w:rsidRPr="00966B4E">
        <w:rPr>
          <w:noProof/>
          <w:szCs w:val="24"/>
        </w:rPr>
        <w:t>, 1–13. https://doi.org/10.1016/J.RSE.2016.11.008</w:t>
      </w:r>
    </w:p>
    <w:p w14:paraId="7378F95D" w14:textId="00FF40BD" w:rsidR="00247AB2" w:rsidRDefault="00247AB2" w:rsidP="00247AB2">
      <w:pPr>
        <w:ind w:left="480" w:hanging="480"/>
        <w:rPr>
          <w:szCs w:val="24"/>
        </w:rPr>
      </w:pPr>
      <w:r w:rsidRPr="00247AB2">
        <w:rPr>
          <w:szCs w:val="24"/>
        </w:rPr>
        <w:t xml:space="preserve">Pavelsky, T. M., Sobolowski, S., Kapnick, S. B., </w:t>
      </w:r>
      <w:r>
        <w:rPr>
          <w:szCs w:val="24"/>
        </w:rPr>
        <w:t>&amp;</w:t>
      </w:r>
      <w:r w:rsidRPr="00247AB2">
        <w:rPr>
          <w:szCs w:val="24"/>
        </w:rPr>
        <w:t xml:space="preserve"> Barnes, J. B. (2012). Changes in orographic precipitation patterns caused by a shift from snow to rain. </w:t>
      </w:r>
      <w:r w:rsidRPr="00247AB2">
        <w:rPr>
          <w:i/>
          <w:iCs/>
          <w:szCs w:val="24"/>
        </w:rPr>
        <w:t>Geophys. Res. Lett.</w:t>
      </w:r>
      <w:r w:rsidRPr="00247AB2">
        <w:rPr>
          <w:szCs w:val="24"/>
        </w:rPr>
        <w:t xml:space="preserve"> 39. doi:10.1029/2012GL052741.</w:t>
      </w:r>
    </w:p>
    <w:p w14:paraId="2C548479" w14:textId="0820F58E" w:rsidR="00D631EB" w:rsidRPr="00D631EB" w:rsidRDefault="00D631EB" w:rsidP="00D631EB">
      <w:pPr>
        <w:widowControl w:val="0"/>
        <w:autoSpaceDE w:val="0"/>
        <w:autoSpaceDN w:val="0"/>
        <w:adjustRightInd w:val="0"/>
        <w:ind w:left="480" w:hanging="480"/>
        <w:rPr>
          <w:noProof/>
          <w:szCs w:val="24"/>
        </w:rPr>
      </w:pPr>
      <w:r w:rsidRPr="00D631EB">
        <w:rPr>
          <w:noProof/>
          <w:szCs w:val="24"/>
        </w:rPr>
        <w:t xml:space="preserve">Reynolds, R. W., Rayner, N. A., Smith, T. M., Stokes, D. C., &amp; Wang, W. (2002). An Improved In Situ and Satellite SST Analysis for Climate. </w:t>
      </w:r>
      <w:r w:rsidRPr="00D631EB">
        <w:rPr>
          <w:i/>
          <w:iCs/>
          <w:noProof/>
          <w:szCs w:val="24"/>
        </w:rPr>
        <w:t>Journal of Climate</w:t>
      </w:r>
      <w:r w:rsidRPr="00D631EB">
        <w:rPr>
          <w:noProof/>
          <w:szCs w:val="24"/>
        </w:rPr>
        <w:t xml:space="preserve">, </w:t>
      </w:r>
      <w:r w:rsidRPr="00D631EB">
        <w:rPr>
          <w:i/>
          <w:iCs/>
          <w:noProof/>
          <w:szCs w:val="24"/>
        </w:rPr>
        <w:t>15</w:t>
      </w:r>
      <w:r w:rsidRPr="00D631EB">
        <w:rPr>
          <w:noProof/>
          <w:szCs w:val="24"/>
        </w:rPr>
        <w:t>(13), 1609–1625. https://doi.org/10.1175/1520-0442(2002)015&lt;1609:AIISAS&gt;2.0.CO;2</w:t>
      </w:r>
    </w:p>
    <w:p w14:paraId="416ACE14" w14:textId="77777777" w:rsidR="00D631EB" w:rsidRPr="00D631EB" w:rsidRDefault="00D631EB" w:rsidP="00D631EB">
      <w:pPr>
        <w:widowControl w:val="0"/>
        <w:autoSpaceDE w:val="0"/>
        <w:autoSpaceDN w:val="0"/>
        <w:adjustRightInd w:val="0"/>
        <w:ind w:left="480" w:hanging="480"/>
        <w:rPr>
          <w:noProof/>
          <w:szCs w:val="24"/>
        </w:rPr>
      </w:pPr>
      <w:r w:rsidRPr="00D631EB">
        <w:rPr>
          <w:noProof/>
          <w:szCs w:val="24"/>
        </w:rPr>
        <w:t xml:space="preserve">van der Wiel, K., Kapnick, S. B., Vecchi, G. A., Cooke, W. F., Delworth, T. L., Jia, L., … Zeng, F. (2016). The resolution dependence of contiguous U.S. precipitation extremes in response to CO2 forcing. </w:t>
      </w:r>
      <w:r w:rsidRPr="00D631EB">
        <w:rPr>
          <w:i/>
          <w:iCs/>
          <w:noProof/>
          <w:szCs w:val="24"/>
        </w:rPr>
        <w:t>Journal of Climate</w:t>
      </w:r>
      <w:r w:rsidRPr="00D631EB">
        <w:rPr>
          <w:noProof/>
          <w:szCs w:val="24"/>
        </w:rPr>
        <w:t xml:space="preserve">, </w:t>
      </w:r>
      <w:r w:rsidRPr="00D631EB">
        <w:rPr>
          <w:i/>
          <w:iCs/>
          <w:noProof/>
          <w:szCs w:val="24"/>
        </w:rPr>
        <w:t>29</w:t>
      </w:r>
      <w:r w:rsidRPr="00D631EB">
        <w:rPr>
          <w:noProof/>
          <w:szCs w:val="24"/>
        </w:rPr>
        <w:t>(22), 7991–8012. https://doi.org/10.1175/JCLI-D-16-0307.1</w:t>
      </w:r>
    </w:p>
    <w:p w14:paraId="3970B0FB" w14:textId="77777777" w:rsidR="00D631EB" w:rsidRPr="00D631EB" w:rsidRDefault="00D631EB" w:rsidP="00D631EB">
      <w:pPr>
        <w:widowControl w:val="0"/>
        <w:autoSpaceDE w:val="0"/>
        <w:autoSpaceDN w:val="0"/>
        <w:adjustRightInd w:val="0"/>
        <w:ind w:left="480" w:hanging="480"/>
        <w:rPr>
          <w:noProof/>
          <w:szCs w:val="24"/>
        </w:rPr>
      </w:pPr>
      <w:r w:rsidRPr="00D631EB">
        <w:rPr>
          <w:noProof/>
          <w:szCs w:val="24"/>
        </w:rPr>
        <w:t xml:space="preserve">Vecchi, G. A., Delworth, T., Gudgel, R., Kapnick, S., Rosati, A., Wittenberg, A. T., … Zhang, S. (2014). On the Seasonal Forecasting of Regional Tropical Cyclone Activity. </w:t>
      </w:r>
      <w:r w:rsidRPr="00D631EB">
        <w:rPr>
          <w:i/>
          <w:iCs/>
          <w:noProof/>
          <w:szCs w:val="24"/>
        </w:rPr>
        <w:t>Journal of Climate</w:t>
      </w:r>
      <w:r w:rsidRPr="00D631EB">
        <w:rPr>
          <w:noProof/>
          <w:szCs w:val="24"/>
        </w:rPr>
        <w:t xml:space="preserve">, </w:t>
      </w:r>
      <w:r w:rsidRPr="00D631EB">
        <w:rPr>
          <w:i/>
          <w:iCs/>
          <w:noProof/>
          <w:szCs w:val="24"/>
        </w:rPr>
        <w:t>27</w:t>
      </w:r>
      <w:r w:rsidRPr="00D631EB">
        <w:rPr>
          <w:noProof/>
          <w:szCs w:val="24"/>
        </w:rPr>
        <w:t>(21), 7994–8016. https://doi.org/10.1175/JCLI-D-14-00158.1</w:t>
      </w:r>
    </w:p>
    <w:p w14:paraId="33424D40" w14:textId="77777777" w:rsidR="00D631EB" w:rsidRPr="00D631EB" w:rsidRDefault="00D631EB" w:rsidP="00D631EB">
      <w:pPr>
        <w:widowControl w:val="0"/>
        <w:autoSpaceDE w:val="0"/>
        <w:autoSpaceDN w:val="0"/>
        <w:adjustRightInd w:val="0"/>
        <w:ind w:left="480" w:hanging="480"/>
        <w:rPr>
          <w:noProof/>
          <w:szCs w:val="24"/>
        </w:rPr>
      </w:pPr>
      <w:r w:rsidRPr="00D631EB">
        <w:rPr>
          <w:noProof/>
          <w:szCs w:val="24"/>
        </w:rPr>
        <w:t xml:space="preserve">Yang, X., Jia, L., Kapnick, S. B., Delworth, T. L., Vecchi, G. A., Gudgel, R., … Zeng, F. (2018). On the seasonal prediction of the western United States El Niño precipitation pattern during the 2015/16 winter. </w:t>
      </w:r>
      <w:r w:rsidRPr="00D631EB">
        <w:rPr>
          <w:i/>
          <w:iCs/>
          <w:noProof/>
          <w:szCs w:val="24"/>
        </w:rPr>
        <w:t>Climate Dynamics</w:t>
      </w:r>
      <w:r w:rsidRPr="00D631EB">
        <w:rPr>
          <w:noProof/>
          <w:szCs w:val="24"/>
        </w:rPr>
        <w:t xml:space="preserve">, </w:t>
      </w:r>
      <w:r w:rsidRPr="00D631EB">
        <w:rPr>
          <w:i/>
          <w:iCs/>
          <w:noProof/>
          <w:szCs w:val="24"/>
        </w:rPr>
        <w:t>51</w:t>
      </w:r>
      <w:r w:rsidRPr="00D631EB">
        <w:rPr>
          <w:noProof/>
          <w:szCs w:val="24"/>
        </w:rPr>
        <w:t>(9), 3765–3783. https://doi.org/10.1007/s00382-018-4109-3</w:t>
      </w:r>
    </w:p>
    <w:p w14:paraId="7D2B9262" w14:textId="77777777" w:rsidR="00FD22C8" w:rsidRPr="00966B4E" w:rsidRDefault="00FD22C8" w:rsidP="00FD22C8">
      <w:pPr>
        <w:widowControl w:val="0"/>
        <w:autoSpaceDE w:val="0"/>
        <w:autoSpaceDN w:val="0"/>
        <w:adjustRightInd w:val="0"/>
        <w:ind w:left="480" w:hanging="480"/>
        <w:rPr>
          <w:noProof/>
          <w:szCs w:val="24"/>
        </w:rPr>
      </w:pPr>
      <w:r w:rsidRPr="00966B4E">
        <w:rPr>
          <w:noProof/>
          <w:szCs w:val="24"/>
        </w:rPr>
        <w:t xml:space="preserve">Zhang, G., Yao, T., Xie, H., Wang, W., &amp; Yang, W. (2015). An inventory of glacial lakes in the Third Pole region and their changes in response to global warming. </w:t>
      </w:r>
      <w:r w:rsidRPr="00966B4E">
        <w:rPr>
          <w:i/>
          <w:iCs/>
          <w:noProof/>
          <w:szCs w:val="24"/>
        </w:rPr>
        <w:t>Global and Planetary Change</w:t>
      </w:r>
      <w:r w:rsidRPr="00966B4E">
        <w:rPr>
          <w:noProof/>
          <w:szCs w:val="24"/>
        </w:rPr>
        <w:t xml:space="preserve">, </w:t>
      </w:r>
      <w:r w:rsidRPr="00966B4E">
        <w:rPr>
          <w:i/>
          <w:iCs/>
          <w:noProof/>
          <w:szCs w:val="24"/>
        </w:rPr>
        <w:t>131</w:t>
      </w:r>
      <w:r w:rsidRPr="00966B4E">
        <w:rPr>
          <w:noProof/>
          <w:szCs w:val="24"/>
        </w:rPr>
        <w:t>, 148–157. https://doi.org/10.1016/J.GLOPLACHA.2015.05.013</w:t>
      </w:r>
    </w:p>
    <w:p w14:paraId="119A4F58" w14:textId="2E8DD241" w:rsidR="00D631EB" w:rsidRPr="00D631EB" w:rsidRDefault="00D631EB" w:rsidP="00D631EB">
      <w:pPr>
        <w:widowControl w:val="0"/>
        <w:autoSpaceDE w:val="0"/>
        <w:autoSpaceDN w:val="0"/>
        <w:adjustRightInd w:val="0"/>
        <w:ind w:left="480" w:hanging="480"/>
        <w:rPr>
          <w:noProof/>
        </w:rPr>
      </w:pPr>
      <w:r w:rsidRPr="00D631EB">
        <w:rPr>
          <w:noProof/>
          <w:szCs w:val="24"/>
        </w:rPr>
        <w:t xml:space="preserve">Zhang, H., &amp; Delworth, T. L. (2018). Detectability of Decadal Anthropogenic </w:t>
      </w:r>
      <w:r w:rsidRPr="00D631EB">
        <w:rPr>
          <w:noProof/>
          <w:szCs w:val="24"/>
        </w:rPr>
        <w:lastRenderedPageBreak/>
        <w:t xml:space="preserve">Hydroclimate Changes over North America. </w:t>
      </w:r>
      <w:r w:rsidRPr="00D631EB">
        <w:rPr>
          <w:i/>
          <w:iCs/>
          <w:noProof/>
          <w:szCs w:val="24"/>
        </w:rPr>
        <w:t>Journal of Climate</w:t>
      </w:r>
      <w:r w:rsidRPr="00D631EB">
        <w:rPr>
          <w:noProof/>
          <w:szCs w:val="24"/>
        </w:rPr>
        <w:t xml:space="preserve">, </w:t>
      </w:r>
      <w:r w:rsidRPr="00D631EB">
        <w:rPr>
          <w:i/>
          <w:iCs/>
          <w:noProof/>
          <w:szCs w:val="24"/>
        </w:rPr>
        <w:t>31</w:t>
      </w:r>
      <w:r w:rsidRPr="00D631EB">
        <w:rPr>
          <w:noProof/>
          <w:szCs w:val="24"/>
        </w:rPr>
        <w:t>(7), 2579–2597. https://doi.org/10.1175/JCLI-D-17-0366.1</w:t>
      </w:r>
    </w:p>
    <w:p w14:paraId="77EFB548" w14:textId="7A5C28F6" w:rsidR="00D631EB" w:rsidRDefault="00D631EB" w:rsidP="007D1D2F">
      <w:pPr>
        <w:rPr>
          <w:b/>
          <w:szCs w:val="24"/>
        </w:rPr>
      </w:pPr>
      <w:r>
        <w:rPr>
          <w:b/>
          <w:szCs w:val="24"/>
        </w:rPr>
        <w:fldChar w:fldCharType="end"/>
      </w:r>
    </w:p>
    <w:sectPr w:rsidR="00D631EB" w:rsidSect="00125F7A">
      <w:headerReference w:type="default" r:id="rId16"/>
      <w:footerReference w:type="default" r:id="rId17"/>
      <w:pgSz w:w="12240" w:h="15840"/>
      <w:pgMar w:top="1440" w:right="1800" w:bottom="1440" w:left="1800" w:header="720" w:footer="720" w:gutter="0"/>
      <w:lnNumType w:countBy="1" w:restart="continuous"/>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022E92" w14:textId="77777777" w:rsidR="009C157B" w:rsidRDefault="009C157B">
      <w:r>
        <w:separator/>
      </w:r>
    </w:p>
  </w:endnote>
  <w:endnote w:type="continuationSeparator" w:id="0">
    <w:p w14:paraId="395681F2" w14:textId="77777777" w:rsidR="009C157B" w:rsidRDefault="009C15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notTrueType/>
    <w:pitch w:val="variable"/>
    <w:sig w:usb0="E00002FF" w:usb1="5000205A" w:usb2="00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Light">
    <w:altName w:val="Calibri"/>
    <w:charset w:val="00"/>
    <w:family w:val="auto"/>
    <w:pitch w:val="variable"/>
    <w:sig w:usb0="20000287" w:usb1="00000001" w:usb2="00000000" w:usb3="00000000" w:csb0="0000019F" w:csb1="00000000"/>
  </w:font>
  <w:font w:name="Myriad Pro">
    <w:altName w:val="Segoe UI"/>
    <w:panose1 w:val="00000000000000000000"/>
    <w:charset w:val="00"/>
    <w:family w:val="swiss"/>
    <w:notTrueType/>
    <w:pitch w:val="variable"/>
    <w:sig w:usb0="20000287"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8E7ED" w14:textId="77777777" w:rsidR="00486221" w:rsidRDefault="00486221">
    <w:pPr>
      <w:pStyle w:val="Footer"/>
      <w:jc w:val="right"/>
    </w:pPr>
    <w:r>
      <w:fldChar w:fldCharType="begin"/>
    </w:r>
    <w:r>
      <w:instrText xml:space="preserve"> PAGE   \* MERGEFORMAT </w:instrText>
    </w:r>
    <w:r>
      <w:fldChar w:fldCharType="separate"/>
    </w:r>
    <w:r>
      <w:rPr>
        <w:noProof/>
      </w:rPr>
      <w:t>1</w:t>
    </w:r>
    <w:r>
      <w:fldChar w:fldCharType="end"/>
    </w:r>
  </w:p>
  <w:p w14:paraId="486656F3" w14:textId="77777777" w:rsidR="00486221" w:rsidRDefault="004862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76AE0E" w14:textId="77777777" w:rsidR="009C157B" w:rsidRDefault="009C157B">
      <w:r>
        <w:separator/>
      </w:r>
    </w:p>
  </w:footnote>
  <w:footnote w:type="continuationSeparator" w:id="0">
    <w:p w14:paraId="3151B33D" w14:textId="77777777" w:rsidR="009C157B" w:rsidRDefault="009C15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F23C1C" w14:textId="77777777" w:rsidR="00486221" w:rsidRPr="005001AC" w:rsidRDefault="00486221" w:rsidP="005001AC">
    <w:pPr>
      <w:jc w:val="right"/>
      <w:rPr>
        <w:sz w:val="20"/>
      </w:rPr>
    </w:pPr>
  </w:p>
  <w:p w14:paraId="18F8F636" w14:textId="77777777" w:rsidR="00486221" w:rsidRDefault="0048622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5F74"/>
    <w:rsid w:val="00043571"/>
    <w:rsid w:val="00065EBD"/>
    <w:rsid w:val="00083B44"/>
    <w:rsid w:val="000850DC"/>
    <w:rsid w:val="0009030E"/>
    <w:rsid w:val="00094365"/>
    <w:rsid w:val="000B2E64"/>
    <w:rsid w:val="000C2771"/>
    <w:rsid w:val="000D68BD"/>
    <w:rsid w:val="000F0DCE"/>
    <w:rsid w:val="00111843"/>
    <w:rsid w:val="00112C5B"/>
    <w:rsid w:val="00113908"/>
    <w:rsid w:val="00114193"/>
    <w:rsid w:val="001154E6"/>
    <w:rsid w:val="00115A38"/>
    <w:rsid w:val="0011687B"/>
    <w:rsid w:val="00116A0C"/>
    <w:rsid w:val="00124F82"/>
    <w:rsid w:val="00125F7A"/>
    <w:rsid w:val="001278E3"/>
    <w:rsid w:val="00130743"/>
    <w:rsid w:val="00130B50"/>
    <w:rsid w:val="0016337A"/>
    <w:rsid w:val="00164269"/>
    <w:rsid w:val="001966FD"/>
    <w:rsid w:val="00197826"/>
    <w:rsid w:val="001A1BDE"/>
    <w:rsid w:val="001C7B4E"/>
    <w:rsid w:val="001F0876"/>
    <w:rsid w:val="001F167C"/>
    <w:rsid w:val="001F5E91"/>
    <w:rsid w:val="0020183F"/>
    <w:rsid w:val="002077B9"/>
    <w:rsid w:val="002174D5"/>
    <w:rsid w:val="00221C70"/>
    <w:rsid w:val="002251AF"/>
    <w:rsid w:val="00227D86"/>
    <w:rsid w:val="00243B68"/>
    <w:rsid w:val="00247AB2"/>
    <w:rsid w:val="00262D72"/>
    <w:rsid w:val="002800B6"/>
    <w:rsid w:val="002856B6"/>
    <w:rsid w:val="002A39AE"/>
    <w:rsid w:val="002B35D4"/>
    <w:rsid w:val="002C030F"/>
    <w:rsid w:val="002F3787"/>
    <w:rsid w:val="002F3966"/>
    <w:rsid w:val="00315369"/>
    <w:rsid w:val="00320E2C"/>
    <w:rsid w:val="00331D75"/>
    <w:rsid w:val="00355362"/>
    <w:rsid w:val="00363E44"/>
    <w:rsid w:val="00395E86"/>
    <w:rsid w:val="003A0E97"/>
    <w:rsid w:val="003A2FD8"/>
    <w:rsid w:val="003B40E6"/>
    <w:rsid w:val="003C007A"/>
    <w:rsid w:val="003E1980"/>
    <w:rsid w:val="003F6E14"/>
    <w:rsid w:val="00405336"/>
    <w:rsid w:val="004568BC"/>
    <w:rsid w:val="004571D5"/>
    <w:rsid w:val="00462F1B"/>
    <w:rsid w:val="0046356B"/>
    <w:rsid w:val="00477182"/>
    <w:rsid w:val="004779CB"/>
    <w:rsid w:val="00481118"/>
    <w:rsid w:val="00486221"/>
    <w:rsid w:val="004B2481"/>
    <w:rsid w:val="004D25DF"/>
    <w:rsid w:val="004D2A8C"/>
    <w:rsid w:val="004E42D8"/>
    <w:rsid w:val="004E7BA2"/>
    <w:rsid w:val="004F16C1"/>
    <w:rsid w:val="004F7EDF"/>
    <w:rsid w:val="005001AC"/>
    <w:rsid w:val="00517016"/>
    <w:rsid w:val="00527D71"/>
    <w:rsid w:val="00527D84"/>
    <w:rsid w:val="005314B5"/>
    <w:rsid w:val="0054432F"/>
    <w:rsid w:val="00552C23"/>
    <w:rsid w:val="005607DD"/>
    <w:rsid w:val="00572DFF"/>
    <w:rsid w:val="005A558C"/>
    <w:rsid w:val="005A6653"/>
    <w:rsid w:val="005B186E"/>
    <w:rsid w:val="005C4540"/>
    <w:rsid w:val="005C6651"/>
    <w:rsid w:val="005D6D71"/>
    <w:rsid w:val="005E28F8"/>
    <w:rsid w:val="005E6513"/>
    <w:rsid w:val="00611F9E"/>
    <w:rsid w:val="006237D4"/>
    <w:rsid w:val="00651114"/>
    <w:rsid w:val="00661B70"/>
    <w:rsid w:val="006622CF"/>
    <w:rsid w:val="00664A12"/>
    <w:rsid w:val="0066722B"/>
    <w:rsid w:val="00670299"/>
    <w:rsid w:val="0068469F"/>
    <w:rsid w:val="00685857"/>
    <w:rsid w:val="00691985"/>
    <w:rsid w:val="006962C1"/>
    <w:rsid w:val="006A1B64"/>
    <w:rsid w:val="006B03AD"/>
    <w:rsid w:val="006E242D"/>
    <w:rsid w:val="006F602A"/>
    <w:rsid w:val="007108F5"/>
    <w:rsid w:val="00713AF2"/>
    <w:rsid w:val="00713E5B"/>
    <w:rsid w:val="007402FC"/>
    <w:rsid w:val="007411A1"/>
    <w:rsid w:val="00753D15"/>
    <w:rsid w:val="007563F2"/>
    <w:rsid w:val="00764008"/>
    <w:rsid w:val="007B2700"/>
    <w:rsid w:val="007D1D2F"/>
    <w:rsid w:val="007E7B6C"/>
    <w:rsid w:val="00807D35"/>
    <w:rsid w:val="00810FC9"/>
    <w:rsid w:val="008115D9"/>
    <w:rsid w:val="00825950"/>
    <w:rsid w:val="00862249"/>
    <w:rsid w:val="00885C9B"/>
    <w:rsid w:val="008927D0"/>
    <w:rsid w:val="008D5D2A"/>
    <w:rsid w:val="008E2CF1"/>
    <w:rsid w:val="008F08DC"/>
    <w:rsid w:val="008F5A8A"/>
    <w:rsid w:val="009055D1"/>
    <w:rsid w:val="00906A3A"/>
    <w:rsid w:val="00914B63"/>
    <w:rsid w:val="00922705"/>
    <w:rsid w:val="00924546"/>
    <w:rsid w:val="00932FE5"/>
    <w:rsid w:val="009354F3"/>
    <w:rsid w:val="009447DC"/>
    <w:rsid w:val="00961BA5"/>
    <w:rsid w:val="009743A9"/>
    <w:rsid w:val="00975720"/>
    <w:rsid w:val="009859A7"/>
    <w:rsid w:val="00990B22"/>
    <w:rsid w:val="009A5287"/>
    <w:rsid w:val="009B2AC5"/>
    <w:rsid w:val="009B7984"/>
    <w:rsid w:val="009C157B"/>
    <w:rsid w:val="009D5042"/>
    <w:rsid w:val="009F4BED"/>
    <w:rsid w:val="009F7D93"/>
    <w:rsid w:val="00A101A4"/>
    <w:rsid w:val="00A276DF"/>
    <w:rsid w:val="00A3084A"/>
    <w:rsid w:val="00A3403B"/>
    <w:rsid w:val="00A50033"/>
    <w:rsid w:val="00A51A12"/>
    <w:rsid w:val="00A627D4"/>
    <w:rsid w:val="00A74DA2"/>
    <w:rsid w:val="00A92733"/>
    <w:rsid w:val="00AA76F3"/>
    <w:rsid w:val="00AC7DA6"/>
    <w:rsid w:val="00AD499C"/>
    <w:rsid w:val="00B05D0F"/>
    <w:rsid w:val="00B30334"/>
    <w:rsid w:val="00B3147F"/>
    <w:rsid w:val="00B36869"/>
    <w:rsid w:val="00B43B31"/>
    <w:rsid w:val="00B47CFA"/>
    <w:rsid w:val="00B57F00"/>
    <w:rsid w:val="00B626CB"/>
    <w:rsid w:val="00B7560C"/>
    <w:rsid w:val="00B77E40"/>
    <w:rsid w:val="00B82C22"/>
    <w:rsid w:val="00B93DBA"/>
    <w:rsid w:val="00B9440A"/>
    <w:rsid w:val="00B952C1"/>
    <w:rsid w:val="00B968D7"/>
    <w:rsid w:val="00BA3953"/>
    <w:rsid w:val="00BB2D2A"/>
    <w:rsid w:val="00BC7537"/>
    <w:rsid w:val="00BD58CF"/>
    <w:rsid w:val="00BF1BEB"/>
    <w:rsid w:val="00BF1BF9"/>
    <w:rsid w:val="00C04CC1"/>
    <w:rsid w:val="00C071FC"/>
    <w:rsid w:val="00C22C02"/>
    <w:rsid w:val="00C27F6F"/>
    <w:rsid w:val="00C30E83"/>
    <w:rsid w:val="00C50C6D"/>
    <w:rsid w:val="00C600D9"/>
    <w:rsid w:val="00C634D7"/>
    <w:rsid w:val="00C73E09"/>
    <w:rsid w:val="00CC1384"/>
    <w:rsid w:val="00CD3720"/>
    <w:rsid w:val="00CE6EAA"/>
    <w:rsid w:val="00CF0CB9"/>
    <w:rsid w:val="00CF1848"/>
    <w:rsid w:val="00CF5C2F"/>
    <w:rsid w:val="00D04BCF"/>
    <w:rsid w:val="00D10134"/>
    <w:rsid w:val="00D143D9"/>
    <w:rsid w:val="00D22988"/>
    <w:rsid w:val="00D34C5E"/>
    <w:rsid w:val="00D4372A"/>
    <w:rsid w:val="00D574FD"/>
    <w:rsid w:val="00D60BB0"/>
    <w:rsid w:val="00D631EB"/>
    <w:rsid w:val="00D65708"/>
    <w:rsid w:val="00D8159F"/>
    <w:rsid w:val="00DC07D0"/>
    <w:rsid w:val="00DD1D04"/>
    <w:rsid w:val="00DD79D7"/>
    <w:rsid w:val="00DE4CE9"/>
    <w:rsid w:val="00E20431"/>
    <w:rsid w:val="00E257C8"/>
    <w:rsid w:val="00E34300"/>
    <w:rsid w:val="00E40896"/>
    <w:rsid w:val="00E43D2D"/>
    <w:rsid w:val="00E449CB"/>
    <w:rsid w:val="00E52038"/>
    <w:rsid w:val="00E53F61"/>
    <w:rsid w:val="00E63760"/>
    <w:rsid w:val="00E64049"/>
    <w:rsid w:val="00E9773B"/>
    <w:rsid w:val="00EC13A3"/>
    <w:rsid w:val="00EC7C85"/>
    <w:rsid w:val="00ED69CA"/>
    <w:rsid w:val="00EE35AB"/>
    <w:rsid w:val="00EF25A3"/>
    <w:rsid w:val="00F125EE"/>
    <w:rsid w:val="00F12E98"/>
    <w:rsid w:val="00F22029"/>
    <w:rsid w:val="00F22DEB"/>
    <w:rsid w:val="00F22F71"/>
    <w:rsid w:val="00F23E46"/>
    <w:rsid w:val="00F3515C"/>
    <w:rsid w:val="00F47BA3"/>
    <w:rsid w:val="00F56E67"/>
    <w:rsid w:val="00F630EA"/>
    <w:rsid w:val="00F6474F"/>
    <w:rsid w:val="00F653D7"/>
    <w:rsid w:val="00F7007E"/>
    <w:rsid w:val="00F73193"/>
    <w:rsid w:val="00F74F95"/>
    <w:rsid w:val="00F80705"/>
    <w:rsid w:val="00F86EFA"/>
    <w:rsid w:val="00F96B34"/>
    <w:rsid w:val="00FA1481"/>
    <w:rsid w:val="00FB1C42"/>
    <w:rsid w:val="00FB32EC"/>
    <w:rsid w:val="00FD22C8"/>
    <w:rsid w:val="00FF04E3"/>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semiHidden/>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 w:type="character" w:styleId="UnresolvedMention">
    <w:name w:val="Unresolved Mention"/>
    <w:basedOn w:val="DefaultParagraphFont"/>
    <w:rsid w:val="00E53F61"/>
    <w:rPr>
      <w:color w:val="605E5C"/>
      <w:shd w:val="clear" w:color="auto" w:fill="E1DFDD"/>
    </w:rPr>
  </w:style>
  <w:style w:type="paragraph" w:customStyle="1" w:styleId="Note">
    <w:name w:val="Note"/>
    <w:basedOn w:val="Normal"/>
    <w:qFormat/>
    <w:rsid w:val="00810FC9"/>
    <w:pPr>
      <w:spacing w:before="240" w:after="240"/>
    </w:pPr>
    <w:rPr>
      <w:rFonts w:eastAsia="Calibri"/>
      <w:color w:val="00B0F0"/>
      <w:sz w:val="20"/>
    </w:rPr>
  </w:style>
  <w:style w:type="paragraph" w:customStyle="1" w:styleId="Affiliation">
    <w:name w:val="Affiliation"/>
    <w:basedOn w:val="Normal"/>
    <w:qFormat/>
    <w:rsid w:val="00810FC9"/>
    <w:pPr>
      <w:spacing w:before="120"/>
    </w:pPr>
    <w:rPr>
      <w:szCs w:val="24"/>
    </w:rPr>
  </w:style>
  <w:style w:type="character" w:customStyle="1" w:styleId="il">
    <w:name w:val="il"/>
    <w:basedOn w:val="DefaultParagraphFont"/>
    <w:rsid w:val="00810FC9"/>
  </w:style>
  <w:style w:type="character" w:styleId="LineNumber">
    <w:name w:val="line number"/>
    <w:basedOn w:val="DefaultParagraphFont"/>
    <w:semiHidden/>
    <w:rsid w:val="00125F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653265780">
      <w:bodyDiv w:val="1"/>
      <w:marLeft w:val="0"/>
      <w:marRight w:val="0"/>
      <w:marTop w:val="0"/>
      <w:marBottom w:val="0"/>
      <w:divBdr>
        <w:top w:val="none" w:sz="0" w:space="0" w:color="auto"/>
        <w:left w:val="none" w:sz="0" w:space="0" w:color="auto"/>
        <w:bottom w:val="none" w:sz="0" w:space="0" w:color="auto"/>
        <w:right w:val="none" w:sz="0" w:space="0" w:color="auto"/>
      </w:divBdr>
    </w:div>
    <w:div w:id="795947003">
      <w:bodyDiv w:val="1"/>
      <w:marLeft w:val="0"/>
      <w:marRight w:val="0"/>
      <w:marTop w:val="0"/>
      <w:marBottom w:val="0"/>
      <w:divBdr>
        <w:top w:val="none" w:sz="0" w:space="0" w:color="auto"/>
        <w:left w:val="none" w:sz="0" w:space="0" w:color="auto"/>
        <w:bottom w:val="none" w:sz="0" w:space="0" w:color="auto"/>
        <w:right w:val="none" w:sz="0" w:space="0" w:color="auto"/>
      </w:divBdr>
    </w:div>
    <w:div w:id="841773012">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364667183">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904827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mm.nasa.gov/precip-apps" TargetMode="Externa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s://pmm.nasa.gov/"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tp://data1.gfdl.noaa.gov/users/Sarah.Kapnick/HiMAT/GFDL-FLOR/Kirschbaumetal/" TargetMode="Externa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8717C-9C5B-4366-9F7F-441A6E5DE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6601</Words>
  <Characters>37627</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44140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Kirschbaum, Dalia B. (GSFC-6170)</cp:lastModifiedBy>
  <cp:revision>5</cp:revision>
  <cp:lastPrinted>2014-09-30T16:49:00Z</cp:lastPrinted>
  <dcterms:created xsi:type="dcterms:W3CDTF">2019-12-06T16:04:00Z</dcterms:created>
  <dcterms:modified xsi:type="dcterms:W3CDTF">2019-12-06T16:37:00Z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http://www.zotero.org/styles/frontiers-in-environmental-science</vt:lpwstr>
  </property>
  <property fmtid="{D5CDD505-2E9C-101B-9397-08002B2CF9AE}" pid="15" name="Mendeley Recent Style Name 6_1">
    <vt:lpwstr>Frontiers in Environmental Science</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Citation Style_1">
    <vt:lpwstr>http://www.zotero.org/styles/apa</vt:lpwstr>
  </property>
  <property fmtid="{D5CDD505-2E9C-101B-9397-08002B2CF9AE}" pid="23" name="Mendeley Document_1">
    <vt:lpwstr>True</vt:lpwstr>
  </property>
  <property fmtid="{D5CDD505-2E9C-101B-9397-08002B2CF9AE}" pid="24" name="Mendeley Unique User Id_1">
    <vt:lpwstr>3ad97871-3231-3864-9ac6-375acb234031</vt:lpwstr>
  </property>
</Properties>
</file>