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CBD7066" w14:textId="77777777" w:rsidR="00961436" w:rsidRDefault="00961436" w:rsidP="00961436">
      <w:pPr>
        <w:spacing w:line="480" w:lineRule="auto"/>
        <w:jc w:val="center"/>
        <w:rPr>
          <w:b/>
          <w:color w:val="000000" w:themeColor="text1"/>
        </w:rPr>
      </w:pPr>
    </w:p>
    <w:p w14:paraId="2A8DC3FC" w14:textId="77777777" w:rsidR="00961436" w:rsidRDefault="00961436" w:rsidP="00961436">
      <w:pPr>
        <w:spacing w:line="480" w:lineRule="auto"/>
        <w:jc w:val="center"/>
        <w:rPr>
          <w:b/>
          <w:color w:val="000000" w:themeColor="text1"/>
        </w:rPr>
      </w:pPr>
    </w:p>
    <w:p w14:paraId="1BA4669A" w14:textId="77777777" w:rsidR="00961436" w:rsidRDefault="00961436" w:rsidP="00961436">
      <w:pPr>
        <w:spacing w:line="480" w:lineRule="auto"/>
        <w:jc w:val="center"/>
        <w:rPr>
          <w:b/>
          <w:color w:val="000000" w:themeColor="text1"/>
        </w:rPr>
      </w:pPr>
    </w:p>
    <w:p w14:paraId="0D00E370" w14:textId="77777777" w:rsidR="00961436" w:rsidRDefault="00961436" w:rsidP="00961436">
      <w:pPr>
        <w:spacing w:line="480" w:lineRule="auto"/>
        <w:jc w:val="center"/>
        <w:rPr>
          <w:b/>
          <w:color w:val="000000" w:themeColor="text1"/>
        </w:rPr>
      </w:pPr>
    </w:p>
    <w:p w14:paraId="7621E9B8" w14:textId="77777777" w:rsidR="00961436" w:rsidRDefault="00961436" w:rsidP="00961436">
      <w:pPr>
        <w:spacing w:line="480" w:lineRule="auto"/>
        <w:jc w:val="center"/>
        <w:rPr>
          <w:b/>
          <w:color w:val="000000" w:themeColor="text1"/>
        </w:rPr>
      </w:pPr>
    </w:p>
    <w:p w14:paraId="0E10343A" w14:textId="77777777" w:rsidR="00961436" w:rsidRDefault="00961436" w:rsidP="00961436">
      <w:pPr>
        <w:spacing w:line="480" w:lineRule="auto"/>
        <w:jc w:val="center"/>
        <w:rPr>
          <w:b/>
          <w:color w:val="000000" w:themeColor="text1"/>
        </w:rPr>
      </w:pPr>
    </w:p>
    <w:p w14:paraId="1EB05CA1" w14:textId="77777777" w:rsidR="00961436" w:rsidRDefault="00961436" w:rsidP="00961436">
      <w:pPr>
        <w:spacing w:line="480" w:lineRule="auto"/>
        <w:jc w:val="center"/>
        <w:rPr>
          <w:b/>
          <w:color w:val="000000" w:themeColor="text1"/>
        </w:rPr>
      </w:pPr>
    </w:p>
    <w:p w14:paraId="6EDE51DF" w14:textId="77777777" w:rsidR="00961436" w:rsidRPr="00961436" w:rsidRDefault="00961436" w:rsidP="00961436">
      <w:pPr>
        <w:spacing w:line="480" w:lineRule="auto"/>
        <w:jc w:val="center"/>
        <w:rPr>
          <w:b/>
          <w:color w:val="000000" w:themeColor="text1"/>
        </w:rPr>
      </w:pPr>
      <w:r w:rsidRPr="00961436">
        <w:rPr>
          <w:b/>
          <w:color w:val="000000" w:themeColor="text1"/>
        </w:rPr>
        <w:t>To Create a Nation:</w:t>
      </w:r>
    </w:p>
    <w:p w14:paraId="61F7B97E" w14:textId="77777777" w:rsidR="00961436" w:rsidRDefault="00961436" w:rsidP="00961436">
      <w:pPr>
        <w:spacing w:line="480" w:lineRule="auto"/>
        <w:jc w:val="center"/>
        <w:rPr>
          <w:b/>
          <w:color w:val="000000" w:themeColor="text1"/>
        </w:rPr>
      </w:pPr>
      <w:r w:rsidRPr="00961436">
        <w:rPr>
          <w:b/>
          <w:color w:val="000000" w:themeColor="text1"/>
        </w:rPr>
        <w:t>Folk Culture and the Construction of National Identity</w:t>
      </w:r>
    </w:p>
    <w:p w14:paraId="7793FCBF" w14:textId="77777777" w:rsidR="00961436" w:rsidRDefault="00961436" w:rsidP="00961436">
      <w:pPr>
        <w:spacing w:line="480" w:lineRule="auto"/>
        <w:jc w:val="center"/>
        <w:rPr>
          <w:b/>
          <w:color w:val="000000" w:themeColor="text1"/>
        </w:rPr>
      </w:pPr>
    </w:p>
    <w:p w14:paraId="035433C3" w14:textId="77777777" w:rsidR="00961436" w:rsidRDefault="00961436" w:rsidP="00961436">
      <w:pPr>
        <w:spacing w:line="480" w:lineRule="auto"/>
        <w:jc w:val="center"/>
        <w:rPr>
          <w:b/>
          <w:color w:val="000000" w:themeColor="text1"/>
        </w:rPr>
      </w:pPr>
    </w:p>
    <w:p w14:paraId="5052636E" w14:textId="77777777" w:rsidR="00961436" w:rsidRDefault="00961436" w:rsidP="00961436">
      <w:pPr>
        <w:spacing w:line="480" w:lineRule="auto"/>
        <w:jc w:val="center"/>
        <w:rPr>
          <w:b/>
          <w:color w:val="000000" w:themeColor="text1"/>
        </w:rPr>
      </w:pPr>
    </w:p>
    <w:p w14:paraId="03BD5785" w14:textId="77777777" w:rsidR="00961436" w:rsidRDefault="00961436" w:rsidP="00961436">
      <w:pPr>
        <w:spacing w:line="480" w:lineRule="auto"/>
        <w:jc w:val="center"/>
        <w:rPr>
          <w:b/>
          <w:color w:val="000000" w:themeColor="text1"/>
        </w:rPr>
      </w:pPr>
    </w:p>
    <w:p w14:paraId="11D34AA8" w14:textId="77777777" w:rsidR="00961436" w:rsidRDefault="00961436" w:rsidP="00961436">
      <w:pPr>
        <w:spacing w:line="480" w:lineRule="auto"/>
        <w:jc w:val="center"/>
        <w:rPr>
          <w:b/>
          <w:color w:val="000000" w:themeColor="text1"/>
        </w:rPr>
      </w:pPr>
    </w:p>
    <w:p w14:paraId="71E3D17D" w14:textId="77777777" w:rsidR="00961436" w:rsidRDefault="00961436" w:rsidP="00961436">
      <w:pPr>
        <w:spacing w:line="480" w:lineRule="auto"/>
        <w:jc w:val="center"/>
        <w:rPr>
          <w:b/>
          <w:color w:val="000000" w:themeColor="text1"/>
        </w:rPr>
      </w:pPr>
    </w:p>
    <w:p w14:paraId="4BE8AD08" w14:textId="77777777" w:rsidR="00961436" w:rsidRDefault="00961436" w:rsidP="00961436">
      <w:pPr>
        <w:spacing w:line="480" w:lineRule="auto"/>
        <w:jc w:val="center"/>
        <w:rPr>
          <w:b/>
          <w:color w:val="000000" w:themeColor="text1"/>
        </w:rPr>
      </w:pPr>
    </w:p>
    <w:p w14:paraId="3842F93A" w14:textId="77777777" w:rsidR="00961436" w:rsidRDefault="00961436" w:rsidP="00961436">
      <w:pPr>
        <w:spacing w:line="480" w:lineRule="auto"/>
        <w:jc w:val="center"/>
        <w:rPr>
          <w:b/>
          <w:color w:val="000000" w:themeColor="text1"/>
        </w:rPr>
      </w:pPr>
    </w:p>
    <w:p w14:paraId="7C60006E" w14:textId="77777777" w:rsidR="00961436" w:rsidRPr="00961436" w:rsidRDefault="00961436" w:rsidP="00961436">
      <w:pPr>
        <w:spacing w:line="480" w:lineRule="auto"/>
        <w:jc w:val="center"/>
        <w:rPr>
          <w:b/>
          <w:color w:val="000000" w:themeColor="text1"/>
        </w:rPr>
      </w:pPr>
      <w:r>
        <w:rPr>
          <w:b/>
          <w:color w:val="000000" w:themeColor="text1"/>
        </w:rPr>
        <w:t>Marina Lant</w:t>
      </w:r>
    </w:p>
    <w:p w14:paraId="09FD7E6A" w14:textId="77777777" w:rsidR="00961436" w:rsidRDefault="00961436" w:rsidP="00961436">
      <w:pPr>
        <w:spacing w:line="480" w:lineRule="auto"/>
        <w:rPr>
          <w:color w:val="000000" w:themeColor="text1"/>
        </w:rPr>
      </w:pPr>
      <w:r>
        <w:rPr>
          <w:color w:val="000000" w:themeColor="text1"/>
        </w:rPr>
        <w:tab/>
      </w:r>
    </w:p>
    <w:p w14:paraId="5CE76520" w14:textId="77777777" w:rsidR="00961436" w:rsidRDefault="00961436">
      <w:pPr>
        <w:rPr>
          <w:color w:val="000000" w:themeColor="text1"/>
        </w:rPr>
      </w:pPr>
      <w:r>
        <w:rPr>
          <w:color w:val="000000" w:themeColor="text1"/>
        </w:rPr>
        <w:br w:type="page"/>
      </w:r>
    </w:p>
    <w:p w14:paraId="341F5471" w14:textId="77777777" w:rsidR="00961436" w:rsidRPr="00961436" w:rsidRDefault="00961436" w:rsidP="00961436">
      <w:pPr>
        <w:spacing w:line="480" w:lineRule="auto"/>
        <w:jc w:val="center"/>
        <w:rPr>
          <w:b/>
          <w:color w:val="000000" w:themeColor="text1"/>
        </w:rPr>
      </w:pPr>
      <w:r>
        <w:rPr>
          <w:b/>
          <w:color w:val="000000" w:themeColor="text1"/>
        </w:rPr>
        <w:lastRenderedPageBreak/>
        <w:t>Introduction</w:t>
      </w:r>
    </w:p>
    <w:p w14:paraId="30F74865" w14:textId="77777777" w:rsidR="00961436" w:rsidRDefault="00961436" w:rsidP="00961436">
      <w:pPr>
        <w:spacing w:line="480" w:lineRule="auto"/>
        <w:ind w:firstLine="720"/>
        <w:rPr>
          <w:color w:val="000000" w:themeColor="text1"/>
        </w:rPr>
      </w:pPr>
      <w:r>
        <w:rPr>
          <w:color w:val="000000" w:themeColor="text1"/>
        </w:rPr>
        <w:t xml:space="preserve">In 1999, the newly elected Scottish Parliament opened. During the opening ceremony, the entire body sang together for the last verse of the performance of Robert Burns’ “A Man’s A For A’ That.” Both unionist and nationalist politicians embraced it as an expression of Scottish national identity. In February 2018, the Winter Olympic games were held in </w:t>
      </w:r>
      <w:proofErr w:type="spellStart"/>
      <w:r>
        <w:rPr>
          <w:color w:val="000000" w:themeColor="text1"/>
        </w:rPr>
        <w:t>PyeongChang</w:t>
      </w:r>
      <w:proofErr w:type="spellEnd"/>
      <w:r>
        <w:rPr>
          <w:color w:val="000000" w:themeColor="text1"/>
        </w:rPr>
        <w:t>, South Korea. During the closing ceremony, music played a large role, including traditional Korean drumming. These two instances exemplify the way folk culture, especially music and dance, are utilized in conceptions of national identity. This thesis seeks to more deeply explore this relationship. To do so, the thesis</w:t>
      </w:r>
      <w:r w:rsidRPr="00D5478D">
        <w:rPr>
          <w:color w:val="000000" w:themeColor="text1"/>
        </w:rPr>
        <w:t xml:space="preserve"> </w:t>
      </w:r>
      <w:r>
        <w:rPr>
          <w:color w:val="000000" w:themeColor="text1"/>
        </w:rPr>
        <w:t>compares</w:t>
      </w:r>
      <w:r w:rsidRPr="00D5478D">
        <w:rPr>
          <w:color w:val="000000" w:themeColor="text1"/>
        </w:rPr>
        <w:t xml:space="preserve"> three cases – Scotland, Korea, and Belgium –</w:t>
      </w:r>
      <w:r>
        <w:rPr>
          <w:color w:val="000000" w:themeColor="text1"/>
        </w:rPr>
        <w:t xml:space="preserve"> </w:t>
      </w:r>
      <w:r w:rsidRPr="00D5478D">
        <w:rPr>
          <w:color w:val="000000" w:themeColor="text1"/>
        </w:rPr>
        <w:t xml:space="preserve">and argues that </w:t>
      </w:r>
      <w:r>
        <w:rPr>
          <w:color w:val="000000" w:themeColor="text1"/>
        </w:rPr>
        <w:t xml:space="preserve">folk culture is deployed in identity construction when it is used to internally unify a group as well as develop an identity in opposition to an outside group. </w:t>
      </w:r>
    </w:p>
    <w:p w14:paraId="19A12043" w14:textId="77777777" w:rsidR="00961436" w:rsidRPr="00961436" w:rsidRDefault="00961436" w:rsidP="00961436">
      <w:pPr>
        <w:spacing w:line="480" w:lineRule="auto"/>
        <w:ind w:firstLine="720"/>
        <w:rPr>
          <w:color w:val="000000" w:themeColor="text1"/>
        </w:rPr>
      </w:pPr>
      <w:r>
        <w:rPr>
          <w:color w:val="000000" w:themeColor="text1"/>
        </w:rPr>
        <w:t>In this analysis, the thesis utilizes the ethno-symbolic approach to national identity, which focuses on the roles of symbols and their use in construction of identity. Through this theory, the thesis focuses on the ways symbols were deployed and redeployed in different conceptions of identity. The redeployment of symbols becomes especially important in chapter three, where the reconstruction of each identity is explored with attention to how symbols were deployed differently or left out as circumstances changed. While these cases have not been considered together before, other scholars have built a substantial literature around national identity construction for each case study. After surveying this literature, chapter one will then provide historical background on each place and its identities.</w:t>
      </w:r>
    </w:p>
    <w:p w14:paraId="555F6E73" w14:textId="77777777" w:rsidR="00961436" w:rsidRDefault="00961436" w:rsidP="00961436">
      <w:pPr>
        <w:spacing w:line="480" w:lineRule="auto"/>
        <w:rPr>
          <w:b/>
          <w:color w:val="000000" w:themeColor="text1"/>
        </w:rPr>
      </w:pPr>
      <w:r>
        <w:rPr>
          <w:b/>
          <w:color w:val="000000" w:themeColor="text1"/>
        </w:rPr>
        <w:t>Scotland</w:t>
      </w:r>
    </w:p>
    <w:p w14:paraId="491D0FE3" w14:textId="77777777" w:rsidR="00961436" w:rsidRDefault="00961436" w:rsidP="00961436">
      <w:pPr>
        <w:spacing w:line="480" w:lineRule="auto"/>
        <w:ind w:firstLine="720"/>
        <w:rPr>
          <w:color w:val="000000" w:themeColor="text1"/>
        </w:rPr>
      </w:pPr>
      <w:r>
        <w:rPr>
          <w:color w:val="000000" w:themeColor="text1"/>
        </w:rPr>
        <w:t xml:space="preserve">The major scholarly debates around Scottish identity lie in when an identifiable Scottish identity came into existence, and if Scottish nationalism is ethnic or civic in nature. This section </w:t>
      </w:r>
      <w:r>
        <w:rPr>
          <w:color w:val="000000" w:themeColor="text1"/>
        </w:rPr>
        <w:lastRenderedPageBreak/>
        <w:t>will focus on the beginnings of Scottish identity, as that debate illustrates both the complicated nature of defining identity and its construction as well as the way scholars have viewed the role of folk culture in Scottish identity.</w:t>
      </w:r>
    </w:p>
    <w:p w14:paraId="7AF756B2" w14:textId="77777777" w:rsidR="00961436" w:rsidRPr="00D5478D" w:rsidRDefault="00961436" w:rsidP="00961436">
      <w:pPr>
        <w:spacing w:line="480" w:lineRule="auto"/>
        <w:ind w:firstLine="720"/>
        <w:rPr>
          <w:color w:val="000000" w:themeColor="text1"/>
        </w:rPr>
      </w:pPr>
      <w:r>
        <w:rPr>
          <w:color w:val="000000" w:themeColor="text1"/>
        </w:rPr>
        <w:t>Some historians</w:t>
      </w:r>
      <w:r w:rsidRPr="00D5478D">
        <w:rPr>
          <w:color w:val="000000" w:themeColor="text1"/>
        </w:rPr>
        <w:t xml:space="preserve"> point to 1320 as the first expression of a distinct Scottish identity. This year marks the Declaration of </w:t>
      </w:r>
      <w:proofErr w:type="spellStart"/>
      <w:r w:rsidRPr="00D5478D">
        <w:rPr>
          <w:color w:val="000000" w:themeColor="text1"/>
        </w:rPr>
        <w:t>Arbroath</w:t>
      </w:r>
      <w:proofErr w:type="spellEnd"/>
      <w:r w:rsidRPr="00D5478D">
        <w:rPr>
          <w:color w:val="000000" w:themeColor="text1"/>
        </w:rPr>
        <w:t>, issued by King Robert Bruce</w:t>
      </w:r>
      <w:r>
        <w:rPr>
          <w:color w:val="000000" w:themeColor="text1"/>
        </w:rPr>
        <w:t>.</w:t>
      </w:r>
      <w:r w:rsidRPr="00D5478D">
        <w:rPr>
          <w:color w:val="000000" w:themeColor="text1"/>
        </w:rPr>
        <w:t xml:space="preserve"> </w:t>
      </w:r>
      <w:r>
        <w:rPr>
          <w:color w:val="000000" w:themeColor="text1"/>
        </w:rPr>
        <w:t>Fiona Watson argues this document is</w:t>
      </w:r>
      <w:r w:rsidRPr="00D5478D">
        <w:rPr>
          <w:color w:val="000000" w:themeColor="text1"/>
        </w:rPr>
        <w:t xml:space="preserve"> “one of the most resounding assertions of independence to be found anywhere.”</w:t>
      </w:r>
      <w:r w:rsidRPr="00D5478D">
        <w:rPr>
          <w:rStyle w:val="FootnoteReference"/>
          <w:color w:val="000000" w:themeColor="text1"/>
        </w:rPr>
        <w:footnoteReference w:id="1"/>
      </w:r>
      <w:r w:rsidRPr="00D5478D">
        <w:rPr>
          <w:color w:val="000000" w:themeColor="text1"/>
        </w:rPr>
        <w:t xml:space="preserve"> </w:t>
      </w:r>
      <w:r>
        <w:rPr>
          <w:color w:val="000000" w:themeColor="text1"/>
        </w:rPr>
        <w:t>Scholars</w:t>
      </w:r>
      <w:r w:rsidRPr="00D5478D">
        <w:rPr>
          <w:color w:val="000000" w:themeColor="text1"/>
        </w:rPr>
        <w:t xml:space="preserve"> </w:t>
      </w:r>
      <w:r>
        <w:rPr>
          <w:color w:val="000000" w:themeColor="text1"/>
        </w:rPr>
        <w:t>often emphasize</w:t>
      </w:r>
      <w:r w:rsidRPr="00D5478D">
        <w:rPr>
          <w:color w:val="000000" w:themeColor="text1"/>
        </w:rPr>
        <w:t xml:space="preserve"> its potential national</w:t>
      </w:r>
      <w:r>
        <w:rPr>
          <w:color w:val="000000" w:themeColor="text1"/>
        </w:rPr>
        <w:t>ist</w:t>
      </w:r>
      <w:r w:rsidRPr="00D5478D">
        <w:rPr>
          <w:color w:val="000000" w:themeColor="text1"/>
        </w:rPr>
        <w:t xml:space="preserve"> themes. In the preamble, the authors lay claim to their land through the triumphs of their ancestors, who “took possession of that home with many victories and untold efforts” by defeating the Britons, the Picts, the Norwegians, the Danes, and the English.</w:t>
      </w:r>
      <w:r w:rsidRPr="00D5478D">
        <w:rPr>
          <w:rStyle w:val="FootnoteReference"/>
          <w:color w:val="000000" w:themeColor="text1"/>
        </w:rPr>
        <w:footnoteReference w:id="2"/>
      </w:r>
      <w:r w:rsidRPr="00D5478D">
        <w:rPr>
          <w:color w:val="000000" w:themeColor="text1"/>
        </w:rPr>
        <w:t xml:space="preserve"> This careful detailing of the history of the Scottish people, </w:t>
      </w:r>
      <w:proofErr w:type="gramStart"/>
      <w:r w:rsidRPr="00D5478D">
        <w:rPr>
          <w:color w:val="000000" w:themeColor="text1"/>
        </w:rPr>
        <w:t>whether or not</w:t>
      </w:r>
      <w:proofErr w:type="gramEnd"/>
      <w:r w:rsidRPr="00D5478D">
        <w:rPr>
          <w:color w:val="000000" w:themeColor="text1"/>
        </w:rPr>
        <w:t xml:space="preserve"> the authors tru</w:t>
      </w:r>
      <w:r>
        <w:rPr>
          <w:color w:val="000000" w:themeColor="text1"/>
        </w:rPr>
        <w:t>ly believed it to be true, showed</w:t>
      </w:r>
      <w:r w:rsidRPr="00D5478D">
        <w:rPr>
          <w:color w:val="000000" w:themeColor="text1"/>
        </w:rPr>
        <w:t xml:space="preserve"> intent. They laid the boundaries of the nation, outlining who did and did not have a claim to </w:t>
      </w:r>
      <w:proofErr w:type="spellStart"/>
      <w:r w:rsidRPr="00D5478D">
        <w:rPr>
          <w:color w:val="000000" w:themeColor="text1"/>
        </w:rPr>
        <w:t>Scottishness</w:t>
      </w:r>
      <w:proofErr w:type="spellEnd"/>
      <w:r w:rsidRPr="00D5478D">
        <w:rPr>
          <w:color w:val="000000" w:themeColor="text1"/>
        </w:rPr>
        <w:t>. Then, the authors offer a plea to the Pope to allow Scotland to maintain its freedom:</w:t>
      </w:r>
    </w:p>
    <w:p w14:paraId="7DC5E5B1" w14:textId="77777777" w:rsidR="00961436" w:rsidRDefault="00961436" w:rsidP="00961436">
      <w:pPr>
        <w:ind w:left="720"/>
        <w:rPr>
          <w:color w:val="000000" w:themeColor="text1"/>
        </w:rPr>
      </w:pPr>
      <w:r w:rsidRPr="00D5478D">
        <w:rPr>
          <w:color w:val="000000" w:themeColor="text1"/>
        </w:rPr>
        <w:t xml:space="preserve">Yet if he [King Robert I] should give up what he has begun, and agree to make us or our kingdom subject to the King of England or the English, we should exert ourselves at once to drive him out as our enemy and a </w:t>
      </w:r>
      <w:proofErr w:type="spellStart"/>
      <w:r w:rsidRPr="00D5478D">
        <w:rPr>
          <w:color w:val="000000" w:themeColor="text1"/>
        </w:rPr>
        <w:t>subverter</w:t>
      </w:r>
      <w:proofErr w:type="spellEnd"/>
      <w:r w:rsidRPr="00D5478D">
        <w:rPr>
          <w:color w:val="000000" w:themeColor="text1"/>
        </w:rPr>
        <w:t xml:space="preserve"> of his own right and ours, and make some other man who was well able to defend us our King; for, </w:t>
      </w:r>
      <w:proofErr w:type="gramStart"/>
      <w:r w:rsidRPr="00D5478D">
        <w:rPr>
          <w:color w:val="000000" w:themeColor="text1"/>
        </w:rPr>
        <w:t>as long as</w:t>
      </w:r>
      <w:proofErr w:type="gramEnd"/>
      <w:r w:rsidRPr="00D5478D">
        <w:rPr>
          <w:color w:val="000000" w:themeColor="text1"/>
        </w:rPr>
        <w:t xml:space="preserve"> but a hundred of us remain alive, never will we on any conditions be brought under English rule. It is in truth not for glory, nor riches, nor </w:t>
      </w:r>
      <w:proofErr w:type="spellStart"/>
      <w:r w:rsidRPr="00D5478D">
        <w:rPr>
          <w:color w:val="000000" w:themeColor="text1"/>
        </w:rPr>
        <w:t>honours</w:t>
      </w:r>
      <w:proofErr w:type="spellEnd"/>
      <w:r w:rsidRPr="00D5478D">
        <w:rPr>
          <w:color w:val="000000" w:themeColor="text1"/>
        </w:rPr>
        <w:t xml:space="preserve"> that we are fighting, but for freedom – for that alone, which no honest man gives up but with life itself.</w:t>
      </w:r>
      <w:r w:rsidRPr="00D5478D">
        <w:rPr>
          <w:rStyle w:val="FootnoteReference"/>
          <w:color w:val="000000" w:themeColor="text1"/>
        </w:rPr>
        <w:footnoteReference w:id="3"/>
      </w:r>
    </w:p>
    <w:p w14:paraId="2C09C165" w14:textId="77777777" w:rsidR="00961436" w:rsidRPr="00D5478D" w:rsidRDefault="00961436" w:rsidP="00961436">
      <w:pPr>
        <w:ind w:left="720"/>
        <w:rPr>
          <w:color w:val="000000" w:themeColor="text1"/>
        </w:rPr>
      </w:pPr>
    </w:p>
    <w:p w14:paraId="0D4D108B" w14:textId="77777777" w:rsidR="00961436" w:rsidRDefault="00961436" w:rsidP="00961436">
      <w:pPr>
        <w:spacing w:line="480" w:lineRule="auto"/>
        <w:rPr>
          <w:color w:val="000000" w:themeColor="text1"/>
        </w:rPr>
      </w:pPr>
      <w:r>
        <w:rPr>
          <w:color w:val="000000" w:themeColor="text1"/>
        </w:rPr>
        <w:t>Michael Penmen presents this document as proof</w:t>
      </w:r>
      <w:r w:rsidRPr="00D5478D">
        <w:rPr>
          <w:color w:val="000000" w:themeColor="text1"/>
        </w:rPr>
        <w:t xml:space="preserve"> of a “collective identity” among the Scottish nobility.</w:t>
      </w:r>
      <w:r w:rsidRPr="00D5478D">
        <w:rPr>
          <w:rStyle w:val="FootnoteReference"/>
          <w:color w:val="000000" w:themeColor="text1"/>
        </w:rPr>
        <w:footnoteReference w:id="4"/>
      </w:r>
      <w:r w:rsidRPr="00D5478D">
        <w:rPr>
          <w:color w:val="000000" w:themeColor="text1"/>
        </w:rPr>
        <w:t xml:space="preserve"> </w:t>
      </w:r>
      <w:r>
        <w:rPr>
          <w:color w:val="000000" w:themeColor="text1"/>
        </w:rPr>
        <w:t xml:space="preserve">Historians who date the beginnings of Scottish identity at the Declaration of </w:t>
      </w:r>
      <w:proofErr w:type="spellStart"/>
      <w:r>
        <w:rPr>
          <w:color w:val="000000" w:themeColor="text1"/>
        </w:rPr>
        <w:t>Arbroath</w:t>
      </w:r>
      <w:proofErr w:type="spellEnd"/>
      <w:r>
        <w:rPr>
          <w:color w:val="000000" w:themeColor="text1"/>
        </w:rPr>
        <w:t xml:space="preserve"> </w:t>
      </w:r>
      <w:r>
        <w:rPr>
          <w:color w:val="000000" w:themeColor="text1"/>
        </w:rPr>
        <w:lastRenderedPageBreak/>
        <w:t xml:space="preserve">focus on a propensity towards fighting for independence and an opposition to the English as key aspects of </w:t>
      </w:r>
      <w:proofErr w:type="spellStart"/>
      <w:r>
        <w:rPr>
          <w:color w:val="000000" w:themeColor="text1"/>
        </w:rPr>
        <w:t>Scottishness</w:t>
      </w:r>
      <w:proofErr w:type="spellEnd"/>
      <w:r>
        <w:rPr>
          <w:color w:val="000000" w:themeColor="text1"/>
        </w:rPr>
        <w:t xml:space="preserve">. In this argument, the Declaration of </w:t>
      </w:r>
      <w:proofErr w:type="spellStart"/>
      <w:r>
        <w:rPr>
          <w:color w:val="000000" w:themeColor="text1"/>
        </w:rPr>
        <w:t>Arbroath</w:t>
      </w:r>
      <w:proofErr w:type="spellEnd"/>
      <w:r>
        <w:rPr>
          <w:color w:val="000000" w:themeColor="text1"/>
        </w:rPr>
        <w:t xml:space="preserve"> marks a clear assertion of Scottish priorities.</w:t>
      </w:r>
    </w:p>
    <w:p w14:paraId="60805798" w14:textId="50F01866" w:rsidR="00961436" w:rsidRPr="00D5478D" w:rsidRDefault="00961436" w:rsidP="00961436">
      <w:pPr>
        <w:spacing w:line="480" w:lineRule="auto"/>
        <w:ind w:firstLine="720"/>
        <w:rPr>
          <w:color w:val="000000" w:themeColor="text1"/>
        </w:rPr>
      </w:pPr>
      <w:r w:rsidRPr="00D5478D">
        <w:rPr>
          <w:color w:val="000000" w:themeColor="text1"/>
        </w:rPr>
        <w:t xml:space="preserve">However, recently scholars have begun complicating this narrative. Neil Davidson rejects this interpretation of the Declaration of </w:t>
      </w:r>
      <w:proofErr w:type="spellStart"/>
      <w:r w:rsidRPr="00D5478D">
        <w:rPr>
          <w:color w:val="000000" w:themeColor="text1"/>
        </w:rPr>
        <w:t>Arbroath</w:t>
      </w:r>
      <w:proofErr w:type="spellEnd"/>
      <w:r w:rsidRPr="00D5478D">
        <w:rPr>
          <w:color w:val="000000" w:themeColor="text1"/>
        </w:rPr>
        <w:t xml:space="preserve">, arguing that the document instead should be read in the context of the period in which it was written. </w:t>
      </w:r>
      <w:r>
        <w:rPr>
          <w:color w:val="000000" w:themeColor="text1"/>
        </w:rPr>
        <w:t>In this view, the Declaration instead asserted</w:t>
      </w:r>
      <w:r w:rsidRPr="00D5478D">
        <w:rPr>
          <w:color w:val="000000" w:themeColor="text1"/>
        </w:rPr>
        <w:t xml:space="preserve"> of the rights of the nobles, both to resist attempts by Edward II, King of England, to tamper with their power and their right to “the unimpeded exploitation of their tenants.”</w:t>
      </w:r>
      <w:r w:rsidRPr="00D5478D">
        <w:rPr>
          <w:rStyle w:val="FootnoteReference"/>
          <w:color w:val="000000" w:themeColor="text1"/>
        </w:rPr>
        <w:footnoteReference w:id="5"/>
      </w:r>
      <w:r w:rsidRPr="00D5478D">
        <w:rPr>
          <w:color w:val="000000" w:themeColor="text1"/>
        </w:rPr>
        <w:t xml:space="preserve"> Nothing in these motivations points to a </w:t>
      </w:r>
      <w:r w:rsidRPr="00136289">
        <w:rPr>
          <w:i/>
          <w:color w:val="000000" w:themeColor="text1"/>
        </w:rPr>
        <w:t>national</w:t>
      </w:r>
      <w:r w:rsidRPr="00D5478D">
        <w:rPr>
          <w:color w:val="000000" w:themeColor="text1"/>
        </w:rPr>
        <w:t xml:space="preserve"> identity.</w:t>
      </w:r>
      <w:r>
        <w:rPr>
          <w:color w:val="000000" w:themeColor="text1"/>
        </w:rPr>
        <w:t xml:space="preserve"> Other historians, like </w:t>
      </w:r>
      <w:r w:rsidRPr="00D5478D">
        <w:rPr>
          <w:color w:val="000000" w:themeColor="text1"/>
        </w:rPr>
        <w:t>Susan Reynolds,</w:t>
      </w:r>
      <w:r>
        <w:rPr>
          <w:color w:val="000000" w:themeColor="text1"/>
        </w:rPr>
        <w:t xml:space="preserve"> see the Declaration as expressing fealty to a King, not a nation. She </w:t>
      </w:r>
      <w:r w:rsidRPr="00D5478D">
        <w:rPr>
          <w:color w:val="000000" w:themeColor="text1"/>
        </w:rPr>
        <w:t>calls the Declaration “the most eloquent statement of regnal solidarity to come out of the middle ages.”</w:t>
      </w:r>
      <w:r w:rsidRPr="00D5478D">
        <w:rPr>
          <w:rStyle w:val="FootnoteReference"/>
          <w:color w:val="000000" w:themeColor="text1"/>
        </w:rPr>
        <w:footnoteReference w:id="6"/>
      </w:r>
      <w:r>
        <w:rPr>
          <w:color w:val="000000" w:themeColor="text1"/>
        </w:rPr>
        <w:t xml:space="preserve"> These arguments</w:t>
      </w:r>
      <w:r w:rsidRPr="00D5478D">
        <w:rPr>
          <w:color w:val="000000" w:themeColor="text1"/>
        </w:rPr>
        <w:t>, contrary to a nationalis</w:t>
      </w:r>
      <w:r>
        <w:rPr>
          <w:color w:val="000000" w:themeColor="text1"/>
        </w:rPr>
        <w:t>t analysis of the document, do</w:t>
      </w:r>
      <w:r w:rsidRPr="00D5478D">
        <w:rPr>
          <w:color w:val="000000" w:themeColor="text1"/>
        </w:rPr>
        <w:t xml:space="preserve"> not indicate the presence of a Scottish national identity in 1320.  Instead, the nationalist meaning attached to the Declaration was constructed afterwards, according to Edward J. Cowan.</w:t>
      </w:r>
      <w:r w:rsidRPr="00D5478D">
        <w:rPr>
          <w:rStyle w:val="FootnoteReference"/>
          <w:color w:val="000000" w:themeColor="text1"/>
        </w:rPr>
        <w:footnoteReference w:id="7"/>
      </w:r>
      <w:r w:rsidRPr="00D5478D">
        <w:rPr>
          <w:color w:val="000000" w:themeColor="text1"/>
        </w:rPr>
        <w:t xml:space="preserve"> </w:t>
      </w:r>
      <w:r>
        <w:rPr>
          <w:color w:val="000000" w:themeColor="text1"/>
        </w:rPr>
        <w:t>This strong debate around the original nationali</w:t>
      </w:r>
      <w:r w:rsidR="00314226">
        <w:rPr>
          <w:color w:val="000000" w:themeColor="text1"/>
        </w:rPr>
        <w:t>st sentiment of the Declaration</w:t>
      </w:r>
      <w:r>
        <w:rPr>
          <w:color w:val="000000" w:themeColor="text1"/>
        </w:rPr>
        <w:t xml:space="preserve"> indicates, most significantly for the present work, that it became an important symbol in the construction of Scottish identity. </w:t>
      </w:r>
    </w:p>
    <w:p w14:paraId="36AD5DC7" w14:textId="77777777" w:rsidR="00961436" w:rsidRPr="00D5478D" w:rsidRDefault="00961436" w:rsidP="00961436">
      <w:pPr>
        <w:spacing w:line="480" w:lineRule="auto"/>
        <w:ind w:firstLine="720"/>
        <w:rPr>
          <w:color w:val="000000" w:themeColor="text1"/>
        </w:rPr>
      </w:pPr>
      <w:r w:rsidRPr="00D5478D">
        <w:rPr>
          <w:color w:val="000000" w:themeColor="text1"/>
        </w:rPr>
        <w:t xml:space="preserve">Other historians place the beginning of Scottish identity at the Treaty of Union in 1707. This Treaty completed the prolonged merger of the two states begun in 1606 with the ascendance of James VI of Scotland to the throne of England, becoming known as James I of England. However, not everyone </w:t>
      </w:r>
      <w:r>
        <w:rPr>
          <w:color w:val="000000" w:themeColor="text1"/>
        </w:rPr>
        <w:t>supported the Treaty of Union</w:t>
      </w:r>
      <w:r w:rsidRPr="00D5478D">
        <w:rPr>
          <w:color w:val="000000" w:themeColor="text1"/>
        </w:rPr>
        <w:t xml:space="preserve">. In fact, a great number of Scots </w:t>
      </w:r>
      <w:r>
        <w:rPr>
          <w:color w:val="000000" w:themeColor="text1"/>
        </w:rPr>
        <w:t>opposed</w:t>
      </w:r>
      <w:r w:rsidRPr="00D5478D">
        <w:rPr>
          <w:color w:val="000000" w:themeColor="text1"/>
        </w:rPr>
        <w:t xml:space="preserve"> </w:t>
      </w:r>
      <w:r w:rsidRPr="00D5478D">
        <w:rPr>
          <w:color w:val="000000" w:themeColor="text1"/>
        </w:rPr>
        <w:lastRenderedPageBreak/>
        <w:t>it, especially as the promised economic boom was slow to materialize.</w:t>
      </w:r>
      <w:r w:rsidRPr="00D5478D">
        <w:rPr>
          <w:rStyle w:val="FootnoteReference"/>
          <w:color w:val="000000" w:themeColor="text1"/>
        </w:rPr>
        <w:footnoteReference w:id="8"/>
      </w:r>
      <w:r w:rsidRPr="00D5478D">
        <w:rPr>
          <w:color w:val="000000" w:themeColor="text1"/>
        </w:rPr>
        <w:t xml:space="preserve"> Traditionally, historians have seen this moment, coupled with the Jacobite uprisings that followed soon after, as clear indications of Scottish identity in opposition to the Union.</w:t>
      </w:r>
      <w:r w:rsidRPr="00D5478D">
        <w:rPr>
          <w:rStyle w:val="FootnoteReference"/>
          <w:color w:val="000000" w:themeColor="text1"/>
        </w:rPr>
        <w:footnoteReference w:id="9"/>
      </w:r>
      <w:r w:rsidRPr="00D5478D">
        <w:rPr>
          <w:color w:val="000000" w:themeColor="text1"/>
        </w:rPr>
        <w:t xml:space="preserve"> However, Colin Kidd examines unionism more closely, showing that unionism was, in fact, as much a part of </w:t>
      </w:r>
      <w:proofErr w:type="spellStart"/>
      <w:r>
        <w:rPr>
          <w:color w:val="000000" w:themeColor="text1"/>
        </w:rPr>
        <w:t>Scottishness</w:t>
      </w:r>
      <w:proofErr w:type="spellEnd"/>
      <w:r w:rsidRPr="00D5478D">
        <w:rPr>
          <w:color w:val="000000" w:themeColor="text1"/>
        </w:rPr>
        <w:t xml:space="preserve"> as was independence. As Kidd writes, “Nationhood just short of legislative devolution was a constant element of Scottish Unionism.”</w:t>
      </w:r>
      <w:r w:rsidRPr="00D5478D">
        <w:rPr>
          <w:rStyle w:val="FootnoteReference"/>
          <w:color w:val="000000" w:themeColor="text1"/>
        </w:rPr>
        <w:footnoteReference w:id="10"/>
      </w:r>
      <w:r w:rsidRPr="00D5478D">
        <w:rPr>
          <w:color w:val="000000" w:themeColor="text1"/>
        </w:rPr>
        <w:t xml:space="preserve"> In this interpr</w:t>
      </w:r>
      <w:r>
        <w:rPr>
          <w:color w:val="000000" w:themeColor="text1"/>
        </w:rPr>
        <w:t>etation, unionism wa</w:t>
      </w:r>
      <w:r w:rsidRPr="00D5478D">
        <w:rPr>
          <w:color w:val="000000" w:themeColor="text1"/>
        </w:rPr>
        <w:t>s not an opposition to, but instead a force in favor of, a distinct Scottish identity. Specifically, Kidd claims, “Scottish unionism developed as a counterweight to English imperialism . . . an alternative to claims of English dominance over Britain.”</w:t>
      </w:r>
      <w:r w:rsidRPr="00D5478D">
        <w:rPr>
          <w:rStyle w:val="FootnoteReference"/>
          <w:color w:val="000000" w:themeColor="text1"/>
        </w:rPr>
        <w:footnoteReference w:id="11"/>
      </w:r>
      <w:r w:rsidRPr="00D5478D">
        <w:rPr>
          <w:color w:val="000000" w:themeColor="text1"/>
        </w:rPr>
        <w:t xml:space="preserve"> So while unionists supported Scotland’s political union with England, they nevertheless saw an important place for a distinct Scottish identity within the larger United Kingdom. Under this reading, 1707 becomes an important moment not just for resistance to the Union as a basis for Scottish national identity, but also the continuing development of unionism with a strong component of distinct Scottish identity.</w:t>
      </w:r>
      <w:r>
        <w:rPr>
          <w:color w:val="000000" w:themeColor="text1"/>
        </w:rPr>
        <w:t xml:space="preserve"> However, this claim to the beginning of</w:t>
      </w:r>
      <w:r w:rsidRPr="00D5478D">
        <w:rPr>
          <w:color w:val="000000" w:themeColor="text1"/>
        </w:rPr>
        <w:t xml:space="preserve"> Scottish identity is complicated by the Jacobite rebellions of the early 18</w:t>
      </w:r>
      <w:r w:rsidRPr="00D5478D">
        <w:rPr>
          <w:color w:val="000000" w:themeColor="text1"/>
          <w:vertAlign w:val="superscript"/>
        </w:rPr>
        <w:t>th</w:t>
      </w:r>
      <w:r w:rsidRPr="00D5478D">
        <w:rPr>
          <w:color w:val="000000" w:themeColor="text1"/>
        </w:rPr>
        <w:t xml:space="preserve"> century.</w:t>
      </w:r>
    </w:p>
    <w:p w14:paraId="33F362ED" w14:textId="77777777" w:rsidR="00961436" w:rsidRDefault="00961436" w:rsidP="00961436">
      <w:pPr>
        <w:spacing w:line="480" w:lineRule="auto"/>
        <w:ind w:firstLine="720"/>
        <w:rPr>
          <w:color w:val="000000" w:themeColor="text1"/>
        </w:rPr>
      </w:pPr>
      <w:r>
        <w:rPr>
          <w:color w:val="000000" w:themeColor="text1"/>
        </w:rPr>
        <w:t>The last Jacobite rebellion is often cited</w:t>
      </w:r>
      <w:r w:rsidRPr="00D5478D">
        <w:rPr>
          <w:color w:val="000000" w:themeColor="text1"/>
        </w:rPr>
        <w:t xml:space="preserve"> as evidence of the </w:t>
      </w:r>
      <w:r>
        <w:rPr>
          <w:color w:val="000000" w:themeColor="text1"/>
        </w:rPr>
        <w:t xml:space="preserve">beginning </w:t>
      </w:r>
      <w:r w:rsidRPr="00D5478D">
        <w:rPr>
          <w:color w:val="000000" w:themeColor="text1"/>
        </w:rPr>
        <w:t xml:space="preserve">of a Scottish national identity. </w:t>
      </w:r>
      <w:r>
        <w:rPr>
          <w:color w:val="000000" w:themeColor="text1"/>
        </w:rPr>
        <w:t xml:space="preserve">The Jacobite cause, based on support for the deposed Stuart dynasty, </w:t>
      </w:r>
      <w:proofErr w:type="gramStart"/>
      <w:r>
        <w:rPr>
          <w:color w:val="000000" w:themeColor="text1"/>
        </w:rPr>
        <w:t>is seen as</w:t>
      </w:r>
      <w:proofErr w:type="gramEnd"/>
      <w:r>
        <w:rPr>
          <w:color w:val="000000" w:themeColor="text1"/>
        </w:rPr>
        <w:t xml:space="preserve"> an expression of Scottish opposition to English rule and the Union more generally. </w:t>
      </w:r>
      <w:r w:rsidRPr="00D5478D">
        <w:rPr>
          <w:color w:val="000000" w:themeColor="text1"/>
        </w:rPr>
        <w:t xml:space="preserve">As part of the </w:t>
      </w:r>
      <w:r w:rsidRPr="00D5478D">
        <w:rPr>
          <w:color w:val="000000" w:themeColor="text1"/>
        </w:rPr>
        <w:lastRenderedPageBreak/>
        <w:t>Jacobite uprising, the Scots of the Highlands hoped to “reclaim the much grander inheritance that had been theirs when Gaelic-speaking monarchs ruled Alba,” the name for Scotland in Gaelic.</w:t>
      </w:r>
      <w:r w:rsidRPr="00D5478D">
        <w:rPr>
          <w:rStyle w:val="FootnoteReference"/>
          <w:color w:val="000000" w:themeColor="text1"/>
        </w:rPr>
        <w:footnoteReference w:id="12"/>
      </w:r>
      <w:r>
        <w:rPr>
          <w:color w:val="000000" w:themeColor="text1"/>
        </w:rPr>
        <w:t xml:space="preserve"> This hope had</w:t>
      </w:r>
      <w:r w:rsidRPr="00D5478D">
        <w:rPr>
          <w:color w:val="000000" w:themeColor="text1"/>
        </w:rPr>
        <w:t xml:space="preserve"> nationalist intentions grounded in a Highlands identity and clear boundaries of that identity; the Highlanders were the true Scots and the true rulers o</w:t>
      </w:r>
      <w:r>
        <w:rPr>
          <w:color w:val="000000" w:themeColor="text1"/>
        </w:rPr>
        <w:t xml:space="preserve">f Alba, not the Lowlanders who </w:t>
      </w:r>
      <w:r w:rsidRPr="00D5478D">
        <w:rPr>
          <w:color w:val="000000" w:themeColor="text1"/>
        </w:rPr>
        <w:t>resided in the major cities lik</w:t>
      </w:r>
      <w:r>
        <w:rPr>
          <w:color w:val="000000" w:themeColor="text1"/>
        </w:rPr>
        <w:t>e Edinburgh and Glasgow. T</w:t>
      </w:r>
      <w:r w:rsidRPr="00D5478D">
        <w:rPr>
          <w:color w:val="000000" w:themeColor="text1"/>
        </w:rPr>
        <w:t>he delineation between these two identities – the Scots of the Highlands a</w:t>
      </w:r>
      <w:r>
        <w:rPr>
          <w:color w:val="000000" w:themeColor="text1"/>
        </w:rPr>
        <w:t xml:space="preserve">nd those of the Lowlands – </w:t>
      </w:r>
      <w:r w:rsidRPr="00D5478D">
        <w:rPr>
          <w:color w:val="000000" w:themeColor="text1"/>
        </w:rPr>
        <w:t xml:space="preserve">leads Davidson to postulate that </w:t>
      </w:r>
      <w:r>
        <w:rPr>
          <w:color w:val="000000" w:themeColor="text1"/>
        </w:rPr>
        <w:t>Scottish national identity bega</w:t>
      </w:r>
      <w:r w:rsidRPr="00D5478D">
        <w:rPr>
          <w:color w:val="000000" w:themeColor="text1"/>
        </w:rPr>
        <w:t>n</w:t>
      </w:r>
      <w:r>
        <w:rPr>
          <w:color w:val="000000" w:themeColor="text1"/>
        </w:rPr>
        <w:t xml:space="preserve"> only after 1746</w:t>
      </w:r>
      <w:r w:rsidRPr="00D5478D">
        <w:rPr>
          <w:color w:val="000000" w:themeColor="text1"/>
        </w:rPr>
        <w:t>.</w:t>
      </w:r>
      <w:r w:rsidRPr="00D5478D">
        <w:rPr>
          <w:rStyle w:val="FootnoteReference"/>
          <w:color w:val="000000" w:themeColor="text1"/>
        </w:rPr>
        <w:footnoteReference w:id="13"/>
      </w:r>
      <w:r w:rsidRPr="00D5478D">
        <w:rPr>
          <w:color w:val="000000" w:themeColor="text1"/>
        </w:rPr>
        <w:t xml:space="preserve"> This, he argues, is because both</w:t>
      </w:r>
      <w:r>
        <w:rPr>
          <w:color w:val="000000" w:themeColor="text1"/>
        </w:rPr>
        <w:t xml:space="preserve"> the Highlands and Lowlands needed to</w:t>
      </w:r>
      <w:r w:rsidRPr="00D5478D">
        <w:rPr>
          <w:color w:val="000000" w:themeColor="text1"/>
        </w:rPr>
        <w:t xml:space="preserve"> </w:t>
      </w:r>
      <w:proofErr w:type="gramStart"/>
      <w:r w:rsidRPr="00D5478D">
        <w:rPr>
          <w:color w:val="000000" w:themeColor="text1"/>
        </w:rPr>
        <w:t>be seen as</w:t>
      </w:r>
      <w:proofErr w:type="gramEnd"/>
      <w:r w:rsidRPr="00D5478D">
        <w:rPr>
          <w:color w:val="000000" w:themeColor="text1"/>
        </w:rPr>
        <w:t xml:space="preserve"> one state</w:t>
      </w:r>
      <w:r>
        <w:rPr>
          <w:color w:val="000000" w:themeColor="text1"/>
        </w:rPr>
        <w:t xml:space="preserve"> by both Highlanders and Lowlanders before a Scottish identity could</w:t>
      </w:r>
      <w:r w:rsidRPr="00D5478D">
        <w:rPr>
          <w:color w:val="000000" w:themeColor="text1"/>
        </w:rPr>
        <w:t xml:space="preserve"> be formed. However, as he points out, a large part of this formation</w:t>
      </w:r>
      <w:r>
        <w:rPr>
          <w:color w:val="000000" w:themeColor="text1"/>
        </w:rPr>
        <w:t xml:space="preserve"> of a unified Scottish state relied</w:t>
      </w:r>
      <w:r w:rsidRPr="00D5478D">
        <w:rPr>
          <w:color w:val="000000" w:themeColor="text1"/>
        </w:rPr>
        <w:t xml:space="preserve"> on the “songs, memoirs and protests of the peasants” from the Highlands.</w:t>
      </w:r>
      <w:r w:rsidRPr="00D5478D">
        <w:rPr>
          <w:rStyle w:val="FootnoteReference"/>
          <w:color w:val="000000" w:themeColor="text1"/>
        </w:rPr>
        <w:footnoteReference w:id="14"/>
      </w:r>
      <w:r w:rsidRPr="00D5478D">
        <w:rPr>
          <w:color w:val="000000" w:themeColor="text1"/>
        </w:rPr>
        <w:t xml:space="preserve"> While seeds of Scottish identity existed </w:t>
      </w:r>
      <w:r>
        <w:rPr>
          <w:color w:val="000000" w:themeColor="text1"/>
        </w:rPr>
        <w:t>long</w:t>
      </w:r>
      <w:r w:rsidRPr="00D5478D">
        <w:rPr>
          <w:color w:val="000000" w:themeColor="text1"/>
        </w:rPr>
        <w:t xml:space="preserve"> before the last Jacobite rebellion, </w:t>
      </w:r>
      <w:r>
        <w:rPr>
          <w:color w:val="000000" w:themeColor="text1"/>
        </w:rPr>
        <w:t xml:space="preserve">it also contained strong internal divisions, especially </w:t>
      </w:r>
      <w:r w:rsidRPr="00D5478D">
        <w:rPr>
          <w:color w:val="000000" w:themeColor="text1"/>
        </w:rPr>
        <w:t xml:space="preserve">between the Highlands and the Lowlands as exemplified by the Jacobite rebellions. </w:t>
      </w:r>
      <w:r>
        <w:rPr>
          <w:color w:val="000000" w:themeColor="text1"/>
        </w:rPr>
        <w:t xml:space="preserve">This paper intervenes in line with the argument made by Davidson. Chapter two will explore how folk culture was used in Scotland to construct an identity that bridged the gap between Highland and Lowland identities to create a unified Scottish consciousness after 1746. </w:t>
      </w:r>
    </w:p>
    <w:p w14:paraId="1B26EA74" w14:textId="77777777" w:rsidR="00961436" w:rsidRDefault="00961436" w:rsidP="00961436">
      <w:pPr>
        <w:spacing w:line="480" w:lineRule="auto"/>
        <w:rPr>
          <w:color w:val="000000" w:themeColor="text1"/>
        </w:rPr>
      </w:pPr>
      <w:r>
        <w:rPr>
          <w:b/>
          <w:color w:val="000000" w:themeColor="text1"/>
        </w:rPr>
        <w:t>Korea</w:t>
      </w:r>
    </w:p>
    <w:p w14:paraId="3EFD1B23" w14:textId="77777777" w:rsidR="00961436" w:rsidRDefault="00961436" w:rsidP="00961436">
      <w:pPr>
        <w:spacing w:line="480" w:lineRule="auto"/>
        <w:rPr>
          <w:color w:val="000000" w:themeColor="text1"/>
        </w:rPr>
      </w:pPr>
      <w:r>
        <w:rPr>
          <w:color w:val="000000" w:themeColor="text1"/>
        </w:rPr>
        <w:tab/>
        <w:t>In scholarship on Korean history, studies on national identity focus on two main areas of interest – language and the press, and folk culture. This section gives an overview of the current research in both areas.</w:t>
      </w:r>
    </w:p>
    <w:p w14:paraId="0F06F3FF" w14:textId="77777777" w:rsidR="00961436" w:rsidRDefault="00961436" w:rsidP="00961436">
      <w:pPr>
        <w:spacing w:line="480" w:lineRule="auto"/>
        <w:rPr>
          <w:color w:val="000000" w:themeColor="text1"/>
        </w:rPr>
      </w:pPr>
      <w:r>
        <w:rPr>
          <w:color w:val="000000" w:themeColor="text1"/>
        </w:rPr>
        <w:lastRenderedPageBreak/>
        <w:tab/>
      </w:r>
      <w:r w:rsidRPr="00D5478D">
        <w:rPr>
          <w:color w:val="000000" w:themeColor="text1"/>
        </w:rPr>
        <w:t xml:space="preserve">In line with the trajectory identified by Benedict Anderson in his famous work </w:t>
      </w:r>
      <w:r w:rsidRPr="00D5478D">
        <w:rPr>
          <w:i/>
          <w:color w:val="000000" w:themeColor="text1"/>
        </w:rPr>
        <w:t>Imagined Communities</w:t>
      </w:r>
      <w:r w:rsidRPr="00D5478D">
        <w:rPr>
          <w:color w:val="000000" w:themeColor="text1"/>
        </w:rPr>
        <w:t xml:space="preserve">, </w:t>
      </w:r>
      <w:r>
        <w:rPr>
          <w:color w:val="000000" w:themeColor="text1"/>
        </w:rPr>
        <w:t>discussed in chapter one</w:t>
      </w:r>
      <w:r w:rsidRPr="00D5478D">
        <w:rPr>
          <w:color w:val="000000" w:themeColor="text1"/>
        </w:rPr>
        <w:t>, some historians focus on the role of the press and newspapers in developing a written national vernacular and creating a shared sense of community among Koreans. According to Anderson, the press, through the act of choosing a</w:t>
      </w:r>
      <w:r>
        <w:rPr>
          <w:color w:val="000000" w:themeColor="text1"/>
        </w:rPr>
        <w:t xml:space="preserve"> language to publish in, creates</w:t>
      </w:r>
      <w:r w:rsidRPr="00D5478D">
        <w:rPr>
          <w:color w:val="000000" w:themeColor="text1"/>
        </w:rPr>
        <w:t xml:space="preserve"> a press vernacular that standardizes language and makes it accessible to a wider audience. This, in turn, creates a community of people who can all understand each other through a shared language.</w:t>
      </w:r>
      <w:r w:rsidRPr="00D5478D">
        <w:rPr>
          <w:rStyle w:val="FootnoteReference"/>
          <w:color w:val="000000" w:themeColor="text1"/>
        </w:rPr>
        <w:footnoteReference w:id="15"/>
      </w:r>
      <w:r w:rsidRPr="00D5478D">
        <w:rPr>
          <w:color w:val="000000" w:themeColor="text1"/>
        </w:rPr>
        <w:t xml:space="preserve"> Some scholars, such as Michael E. Robinson, chart a similar process in Korea under Japanese rule. Robinson argues that</w:t>
      </w:r>
      <w:r>
        <w:rPr>
          <w:color w:val="000000" w:themeColor="text1"/>
        </w:rPr>
        <w:t>,</w:t>
      </w:r>
      <w:r w:rsidRPr="00D5478D">
        <w:rPr>
          <w:color w:val="000000" w:themeColor="text1"/>
        </w:rPr>
        <w:t xml:space="preserve"> “Increased Korean publishing opportunities helped to stimulate nationalist activity.”</w:t>
      </w:r>
      <w:r w:rsidRPr="00D5478D">
        <w:rPr>
          <w:rStyle w:val="FootnoteReference"/>
          <w:color w:val="000000" w:themeColor="text1"/>
        </w:rPr>
        <w:footnoteReference w:id="16"/>
      </w:r>
      <w:r w:rsidRPr="00D5478D">
        <w:rPr>
          <w:color w:val="000000" w:themeColor="text1"/>
        </w:rPr>
        <w:t xml:space="preserve"> He also asserts that the press allowed “Korean intelligentsia . . . to articulate a new collective Korean identity.”</w:t>
      </w:r>
      <w:r w:rsidRPr="00D5478D">
        <w:rPr>
          <w:rStyle w:val="FootnoteReference"/>
          <w:color w:val="000000" w:themeColor="text1"/>
        </w:rPr>
        <w:footnoteReference w:id="17"/>
      </w:r>
      <w:r w:rsidRPr="00D5478D">
        <w:rPr>
          <w:color w:val="000000" w:themeColor="text1"/>
        </w:rPr>
        <w:t xml:space="preserve"> In this view, the newspapers provided a platform for explicit identity construction. The very act of speaking of Korean identity was, in some ways, subversive. Japanese officials in Korea identified discussions of Korean identity, especially through culture, in the press as a threat to coloni</w:t>
      </w:r>
      <w:r>
        <w:rPr>
          <w:color w:val="000000" w:themeColor="text1"/>
        </w:rPr>
        <w:t>al rule due to their ability to e</w:t>
      </w:r>
      <w:r w:rsidRPr="00D5478D">
        <w:rPr>
          <w:color w:val="000000" w:themeColor="text1"/>
        </w:rPr>
        <w:t>licit a nationalist response.</w:t>
      </w:r>
      <w:r w:rsidRPr="00D5478D">
        <w:rPr>
          <w:rStyle w:val="FootnoteReference"/>
          <w:color w:val="000000" w:themeColor="text1"/>
        </w:rPr>
        <w:footnoteReference w:id="18"/>
      </w:r>
      <w:r w:rsidRPr="00D5478D">
        <w:rPr>
          <w:color w:val="000000" w:themeColor="text1"/>
        </w:rPr>
        <w:t xml:space="preserve"> Through discussion of identity, the press played a role in the construction of national identity in Korea. </w:t>
      </w:r>
      <w:r>
        <w:rPr>
          <w:color w:val="000000" w:themeColor="text1"/>
        </w:rPr>
        <w:t>Much of the</w:t>
      </w:r>
      <w:r w:rsidRPr="00D5478D">
        <w:rPr>
          <w:color w:val="000000" w:themeColor="text1"/>
        </w:rPr>
        <w:t xml:space="preserve"> discussion of </w:t>
      </w:r>
      <w:proofErr w:type="spellStart"/>
      <w:r>
        <w:rPr>
          <w:color w:val="000000" w:themeColor="text1"/>
        </w:rPr>
        <w:t>Koreanness</w:t>
      </w:r>
      <w:proofErr w:type="spellEnd"/>
      <w:r>
        <w:rPr>
          <w:color w:val="000000" w:themeColor="text1"/>
        </w:rPr>
        <w:t xml:space="preserve"> in the press was</w:t>
      </w:r>
      <w:r w:rsidRPr="00D5478D">
        <w:rPr>
          <w:color w:val="000000" w:themeColor="text1"/>
        </w:rPr>
        <w:t xml:space="preserve"> contained in stories and discussions about culture. Therefore, </w:t>
      </w:r>
      <w:r>
        <w:rPr>
          <w:color w:val="000000" w:themeColor="text1"/>
        </w:rPr>
        <w:t>many scholars focus on the role of folk culture in national identity development and resistance to Japanese rule in Korea</w:t>
      </w:r>
      <w:r w:rsidRPr="00D5478D">
        <w:rPr>
          <w:color w:val="000000" w:themeColor="text1"/>
        </w:rPr>
        <w:t>.</w:t>
      </w:r>
    </w:p>
    <w:p w14:paraId="18CB2ECB" w14:textId="51BB990B" w:rsidR="00961436" w:rsidRPr="00D5478D" w:rsidRDefault="00961436" w:rsidP="00961436">
      <w:pPr>
        <w:spacing w:line="480" w:lineRule="auto"/>
        <w:rPr>
          <w:color w:val="000000" w:themeColor="text1"/>
        </w:rPr>
      </w:pPr>
      <w:r>
        <w:rPr>
          <w:color w:val="000000" w:themeColor="text1"/>
        </w:rPr>
        <w:lastRenderedPageBreak/>
        <w:tab/>
      </w:r>
      <w:r w:rsidRPr="00D5478D">
        <w:rPr>
          <w:color w:val="000000" w:themeColor="text1"/>
        </w:rPr>
        <w:t>Much research on Korean folk culture under Japanese imp</w:t>
      </w:r>
      <w:r w:rsidR="00DE6561">
        <w:rPr>
          <w:color w:val="000000" w:themeColor="text1"/>
        </w:rPr>
        <w:t>erialism analyses</w:t>
      </w:r>
      <w:r>
        <w:rPr>
          <w:color w:val="000000" w:themeColor="text1"/>
        </w:rPr>
        <w:t xml:space="preserve"> the studies produced</w:t>
      </w:r>
      <w:r w:rsidRPr="00D5478D">
        <w:rPr>
          <w:color w:val="000000" w:themeColor="text1"/>
        </w:rPr>
        <w:t xml:space="preserve"> by Japanese and Korean ethnographers in the 1920s and 1930s. The goals of these ethnographers worked in opposition to each other. For Japanese ethnographers, studying Korean folk culture served two roles, according to </w:t>
      </w:r>
      <w:r>
        <w:rPr>
          <w:color w:val="000000" w:themeColor="text1"/>
        </w:rPr>
        <w:t xml:space="preserve">E. Taylor </w:t>
      </w:r>
      <w:r w:rsidRPr="00D5478D">
        <w:rPr>
          <w:color w:val="000000" w:themeColor="text1"/>
        </w:rPr>
        <w:t>Atkins: to provide the Japanese colonial government with informati</w:t>
      </w:r>
      <w:r w:rsidR="00CE092D">
        <w:rPr>
          <w:color w:val="000000" w:themeColor="text1"/>
        </w:rPr>
        <w:t>on for more effective governance</w:t>
      </w:r>
      <w:r w:rsidRPr="00D5478D">
        <w:rPr>
          <w:color w:val="000000" w:themeColor="text1"/>
        </w:rPr>
        <w:t xml:space="preserve"> of a subjugated people, as well as for Japanese “to mediate intensively on their own historical and modern identity.”</w:t>
      </w:r>
      <w:r w:rsidRPr="00D5478D">
        <w:rPr>
          <w:rStyle w:val="FootnoteReference"/>
          <w:color w:val="000000" w:themeColor="text1"/>
        </w:rPr>
        <w:footnoteReference w:id="19"/>
      </w:r>
      <w:r w:rsidRPr="00D5478D">
        <w:rPr>
          <w:color w:val="000000" w:themeColor="text1"/>
        </w:rPr>
        <w:t xml:space="preserve"> For Korean ethnographers, on the other hand, Robinson asserts that some studies were used as a way to resist “Japanese cultural assimilation.”</w:t>
      </w:r>
      <w:r w:rsidRPr="00D5478D">
        <w:rPr>
          <w:rStyle w:val="FootnoteReference"/>
          <w:color w:val="000000" w:themeColor="text1"/>
        </w:rPr>
        <w:footnoteReference w:id="20"/>
      </w:r>
      <w:r w:rsidRPr="00D5478D">
        <w:rPr>
          <w:color w:val="000000" w:themeColor="text1"/>
        </w:rPr>
        <w:t xml:space="preserve"> Similar to the broader construction of</w:t>
      </w:r>
      <w:r>
        <w:rPr>
          <w:color w:val="000000" w:themeColor="text1"/>
        </w:rPr>
        <w:t xml:space="preserve"> Korean national identity, </w:t>
      </w:r>
      <w:r w:rsidRPr="00D5478D">
        <w:rPr>
          <w:color w:val="000000" w:themeColor="text1"/>
        </w:rPr>
        <w:t>folk culture was studied as a way to resist Japanese rule.</w:t>
      </w:r>
    </w:p>
    <w:p w14:paraId="45CEDB37" w14:textId="77777777" w:rsidR="00961436" w:rsidRDefault="00961436" w:rsidP="00961436">
      <w:pPr>
        <w:spacing w:line="480" w:lineRule="auto"/>
        <w:rPr>
          <w:color w:val="000000" w:themeColor="text1"/>
        </w:rPr>
      </w:pPr>
      <w:r w:rsidRPr="00D5478D">
        <w:rPr>
          <w:color w:val="000000" w:themeColor="text1"/>
        </w:rPr>
        <w:tab/>
      </w:r>
      <w:r>
        <w:rPr>
          <w:color w:val="000000" w:themeColor="text1"/>
        </w:rPr>
        <w:t>Scholars have also focused on how</w:t>
      </w:r>
      <w:r w:rsidRPr="00D5478D">
        <w:rPr>
          <w:color w:val="000000" w:themeColor="text1"/>
        </w:rPr>
        <w:t xml:space="preserve"> performances of folk traditions contained subversive themes</w:t>
      </w:r>
      <w:r>
        <w:rPr>
          <w:color w:val="000000" w:themeColor="text1"/>
        </w:rPr>
        <w:t xml:space="preserve"> and their role in resistance to Japanese rule. </w:t>
      </w:r>
      <w:r w:rsidRPr="00D5478D">
        <w:rPr>
          <w:color w:val="000000" w:themeColor="text1"/>
        </w:rPr>
        <w:t>Atkins identifies the ways in which Korean folk traditions, especially music and dance, were used subversively under Japanese colonia</w:t>
      </w:r>
      <w:r>
        <w:rPr>
          <w:color w:val="000000" w:themeColor="text1"/>
        </w:rPr>
        <w:t>l rule. He</w:t>
      </w:r>
      <w:r w:rsidRPr="00D5478D">
        <w:rPr>
          <w:color w:val="000000" w:themeColor="text1"/>
        </w:rPr>
        <w:t xml:space="preserve"> calls the content of Korean folk tradition “inherently subversive” and argues Koreans “deployed their art as ‘weapons of the weak’.”</w:t>
      </w:r>
      <w:r w:rsidRPr="00D5478D">
        <w:rPr>
          <w:rStyle w:val="FootnoteReference"/>
          <w:color w:val="000000" w:themeColor="text1"/>
        </w:rPr>
        <w:footnoteReference w:id="21"/>
      </w:r>
      <w:r>
        <w:rPr>
          <w:color w:val="000000" w:themeColor="text1"/>
        </w:rPr>
        <w:t xml:space="preserve"> Cho Dong-</w:t>
      </w:r>
      <w:proofErr w:type="spellStart"/>
      <w:r>
        <w:rPr>
          <w:color w:val="000000" w:themeColor="text1"/>
        </w:rPr>
        <w:t>il</w:t>
      </w:r>
      <w:proofErr w:type="spellEnd"/>
      <w:r>
        <w:rPr>
          <w:color w:val="000000" w:themeColor="text1"/>
        </w:rPr>
        <w:t xml:space="preserve"> and Andr</w:t>
      </w:r>
      <w:r w:rsidRPr="00D5478D">
        <w:rPr>
          <w:color w:val="000000" w:themeColor="text1"/>
        </w:rPr>
        <w:t>e</w:t>
      </w:r>
      <w:r>
        <w:rPr>
          <w:color w:val="000000" w:themeColor="text1"/>
        </w:rPr>
        <w:t>w</w:t>
      </w:r>
      <w:r w:rsidRPr="00D5478D">
        <w:rPr>
          <w:color w:val="000000" w:themeColor="text1"/>
        </w:rPr>
        <w:t xml:space="preserve"> </w:t>
      </w:r>
      <w:proofErr w:type="spellStart"/>
      <w:r w:rsidRPr="00D5478D">
        <w:rPr>
          <w:color w:val="000000" w:themeColor="text1"/>
        </w:rPr>
        <w:t>Nahm</w:t>
      </w:r>
      <w:proofErr w:type="spellEnd"/>
      <w:r w:rsidRPr="00D5478D">
        <w:rPr>
          <w:color w:val="000000" w:themeColor="text1"/>
        </w:rPr>
        <w:t xml:space="preserve"> argue that, in particular, folk songs were used “to create an ‘underground broadcast’” with explicit criticism of and resistance to the colonial state.</w:t>
      </w:r>
      <w:r>
        <w:rPr>
          <w:color w:val="000000" w:themeColor="text1"/>
        </w:rPr>
        <w:t>”</w:t>
      </w:r>
      <w:r w:rsidRPr="00D5478D">
        <w:rPr>
          <w:rStyle w:val="FootnoteReference"/>
          <w:color w:val="000000" w:themeColor="text1"/>
        </w:rPr>
        <w:footnoteReference w:id="22"/>
      </w:r>
      <w:r w:rsidRPr="00D5478D">
        <w:rPr>
          <w:color w:val="000000" w:themeColor="text1"/>
        </w:rPr>
        <w:t xml:space="preserve"> This use of folk culture </w:t>
      </w:r>
      <w:r>
        <w:rPr>
          <w:color w:val="000000" w:themeColor="text1"/>
        </w:rPr>
        <w:t>defined</w:t>
      </w:r>
      <w:r w:rsidRPr="00D5478D">
        <w:rPr>
          <w:color w:val="000000" w:themeColor="text1"/>
        </w:rPr>
        <w:t xml:space="preserve"> the development of Korean national identity as a form of subversion and resistance. </w:t>
      </w:r>
      <w:r>
        <w:rPr>
          <w:color w:val="000000" w:themeColor="text1"/>
        </w:rPr>
        <w:t>Many claim that</w:t>
      </w:r>
      <w:r w:rsidRPr="00D5478D">
        <w:rPr>
          <w:color w:val="000000" w:themeColor="text1"/>
        </w:rPr>
        <w:t xml:space="preserve"> folk culture </w:t>
      </w:r>
      <w:r>
        <w:rPr>
          <w:color w:val="000000" w:themeColor="text1"/>
        </w:rPr>
        <w:t>in Korea continued to retain</w:t>
      </w:r>
      <w:r w:rsidRPr="00D5478D">
        <w:rPr>
          <w:color w:val="000000" w:themeColor="text1"/>
        </w:rPr>
        <w:t xml:space="preserve"> this legacy of resistance</w:t>
      </w:r>
      <w:r>
        <w:rPr>
          <w:color w:val="000000" w:themeColor="text1"/>
        </w:rPr>
        <w:t xml:space="preserve"> into the twenty-first century</w:t>
      </w:r>
      <w:r w:rsidRPr="00D5478D">
        <w:rPr>
          <w:color w:val="000000" w:themeColor="text1"/>
        </w:rPr>
        <w:t xml:space="preserve">. As Atkins argues, “folk performance art has become a medium for commemorating the country’s colonial </w:t>
      </w:r>
      <w:r w:rsidRPr="00D5478D">
        <w:rPr>
          <w:color w:val="000000" w:themeColor="text1"/>
        </w:rPr>
        <w:lastRenderedPageBreak/>
        <w:t>history and spirit of resistance.”</w:t>
      </w:r>
      <w:r w:rsidRPr="00D5478D">
        <w:rPr>
          <w:rStyle w:val="FootnoteReference"/>
          <w:color w:val="000000" w:themeColor="text1"/>
        </w:rPr>
        <w:footnoteReference w:id="23"/>
      </w:r>
      <w:r w:rsidRPr="00D5478D">
        <w:rPr>
          <w:color w:val="000000" w:themeColor="text1"/>
        </w:rPr>
        <w:t xml:space="preserve"> </w:t>
      </w:r>
      <w:r>
        <w:rPr>
          <w:color w:val="000000" w:themeColor="text1"/>
        </w:rPr>
        <w:t>The continuity of this articulation of folk culture will be explored in chapter three.</w:t>
      </w:r>
    </w:p>
    <w:p w14:paraId="2BBCB309" w14:textId="77777777" w:rsidR="00961436" w:rsidRDefault="00961436" w:rsidP="00961436">
      <w:pPr>
        <w:spacing w:line="480" w:lineRule="auto"/>
        <w:rPr>
          <w:b/>
          <w:color w:val="000000" w:themeColor="text1"/>
        </w:rPr>
      </w:pPr>
      <w:r>
        <w:rPr>
          <w:b/>
          <w:color w:val="000000" w:themeColor="text1"/>
        </w:rPr>
        <w:t>Belgium</w:t>
      </w:r>
    </w:p>
    <w:p w14:paraId="012D22E3" w14:textId="77777777" w:rsidR="00961436" w:rsidRDefault="00961436" w:rsidP="00961436">
      <w:pPr>
        <w:spacing w:line="480" w:lineRule="auto"/>
        <w:rPr>
          <w:color w:val="000000" w:themeColor="text1"/>
        </w:rPr>
      </w:pPr>
      <w:r>
        <w:rPr>
          <w:color w:val="000000" w:themeColor="text1"/>
        </w:rPr>
        <w:tab/>
        <w:t>Most of the research on identity in Belgium focuses not on a Belgian national identity, but on the sub-national identities of Flanders and Wallonia, the two regions of Belgium. Many scholars researching these sub-national identities focus on language, as this is the foundation for both Flemish and Walloon identities.</w:t>
      </w:r>
    </w:p>
    <w:p w14:paraId="3B9FFDEF" w14:textId="77777777" w:rsidR="00961436" w:rsidRDefault="00961436" w:rsidP="00961436">
      <w:pPr>
        <w:spacing w:line="480" w:lineRule="auto"/>
        <w:rPr>
          <w:color w:val="000000" w:themeColor="text1"/>
        </w:rPr>
      </w:pPr>
      <w:r>
        <w:rPr>
          <w:color w:val="000000" w:themeColor="text1"/>
        </w:rPr>
        <w:tab/>
        <w:t>Many scholars focus on the origins of the Flemish Movement, or the movement that sought to construct and deploy a Flemish identity to demand rights for Flanders. This research often locates the origin of the Movement in the economic situation in Belgium in the late nineteenth century, in which Flanders was falling behind Wallonia, as well as discriminatory linguistic policies that advantaged French to the detriment of Flemish.</w:t>
      </w:r>
      <w:r>
        <w:rPr>
          <w:rStyle w:val="FootnoteReference"/>
          <w:color w:val="000000" w:themeColor="text1"/>
        </w:rPr>
        <w:footnoteReference w:id="24"/>
      </w:r>
      <w:r>
        <w:rPr>
          <w:color w:val="000000" w:themeColor="text1"/>
        </w:rPr>
        <w:t xml:space="preserve"> Between these two postulated causes, the language issue is often emphasized above all else in the pre-World War I period.</w:t>
      </w:r>
      <w:r>
        <w:rPr>
          <w:rStyle w:val="FootnoteReference"/>
          <w:color w:val="000000" w:themeColor="text1"/>
        </w:rPr>
        <w:footnoteReference w:id="25"/>
      </w:r>
      <w:r>
        <w:rPr>
          <w:color w:val="000000" w:themeColor="text1"/>
        </w:rPr>
        <w:t xml:space="preserve"> Within the broad focus on language, scholars point to literature as a catalyst for the Flemish Movement. Piet </w:t>
      </w:r>
      <w:proofErr w:type="spellStart"/>
      <w:r>
        <w:rPr>
          <w:color w:val="000000" w:themeColor="text1"/>
        </w:rPr>
        <w:t>Couttenier</w:t>
      </w:r>
      <w:proofErr w:type="spellEnd"/>
      <w:r>
        <w:rPr>
          <w:color w:val="000000" w:themeColor="text1"/>
        </w:rPr>
        <w:t xml:space="preserve"> argues that Flemish literature was a driving force “in the shaping of a Flemish subnational identity” during the nineteenth century.</w:t>
      </w:r>
      <w:r>
        <w:rPr>
          <w:rStyle w:val="FootnoteReference"/>
          <w:color w:val="000000" w:themeColor="text1"/>
        </w:rPr>
        <w:footnoteReference w:id="26"/>
      </w:r>
      <w:r>
        <w:rPr>
          <w:color w:val="000000" w:themeColor="text1"/>
        </w:rPr>
        <w:t xml:space="preserve"> Through the work of Flemish writers, language became the key marker of a Flemish identity.</w:t>
      </w:r>
    </w:p>
    <w:p w14:paraId="03DD9EC2" w14:textId="77777777" w:rsidR="00961436" w:rsidRDefault="00961436" w:rsidP="00961436">
      <w:pPr>
        <w:spacing w:line="480" w:lineRule="auto"/>
        <w:rPr>
          <w:color w:val="000000" w:themeColor="text1"/>
        </w:rPr>
      </w:pPr>
      <w:r>
        <w:rPr>
          <w:color w:val="000000" w:themeColor="text1"/>
        </w:rPr>
        <w:lastRenderedPageBreak/>
        <w:tab/>
        <w:t xml:space="preserve">In analyzing the more recent construction of Flemish identity, scholars tend to draw attention to economic issues as cornerstones of Flemish identity development. Bart </w:t>
      </w:r>
      <w:proofErr w:type="spellStart"/>
      <w:r>
        <w:rPr>
          <w:color w:val="000000" w:themeColor="text1"/>
        </w:rPr>
        <w:t>Meuleman</w:t>
      </w:r>
      <w:proofErr w:type="spellEnd"/>
      <w:r>
        <w:rPr>
          <w:color w:val="000000" w:themeColor="text1"/>
        </w:rPr>
        <w:t xml:space="preserve"> argues that a combination of economic and cultural threat drove that process.</w:t>
      </w:r>
      <w:r>
        <w:rPr>
          <w:rStyle w:val="FootnoteReference"/>
          <w:color w:val="000000" w:themeColor="text1"/>
        </w:rPr>
        <w:footnoteReference w:id="27"/>
      </w:r>
      <w:r>
        <w:rPr>
          <w:color w:val="000000" w:themeColor="text1"/>
        </w:rPr>
        <w:t xml:space="preserve"> The argument of this thesis utilizes the work of both views. It will focus on the role of literature and language in the development of Flemish identity in chapter two, but will turn to economic concerns and the connection between advocates of Flemish identity and the far-right in chapter three.</w:t>
      </w:r>
    </w:p>
    <w:p w14:paraId="68202AC0" w14:textId="77777777" w:rsidR="00961436" w:rsidRDefault="00961436" w:rsidP="00961436">
      <w:pPr>
        <w:spacing w:line="480" w:lineRule="auto"/>
        <w:rPr>
          <w:color w:val="000000" w:themeColor="text1"/>
        </w:rPr>
      </w:pPr>
      <w:r>
        <w:rPr>
          <w:color w:val="000000" w:themeColor="text1"/>
        </w:rPr>
        <w:tab/>
        <w:t xml:space="preserve">While Flanders and Wallonia technically share a central government, the development of identity in these two regions reveals some of the key differences between them. Walloon identity is often an afterthought for scholars, in part because they see it as incredibly weak. The </w:t>
      </w:r>
      <w:proofErr w:type="gramStart"/>
      <w:r>
        <w:rPr>
          <w:color w:val="000000" w:themeColor="text1"/>
        </w:rPr>
        <w:t>vast majority</w:t>
      </w:r>
      <w:proofErr w:type="gramEnd"/>
      <w:r>
        <w:rPr>
          <w:color w:val="000000" w:themeColor="text1"/>
        </w:rPr>
        <w:t xml:space="preserve"> of scholars see the Walloon Movement, and Walloon identity more generally, as a direct reaction to the Flemish Movement.</w:t>
      </w:r>
      <w:r>
        <w:rPr>
          <w:rStyle w:val="FootnoteReference"/>
          <w:color w:val="000000" w:themeColor="text1"/>
        </w:rPr>
        <w:footnoteReference w:id="28"/>
      </w:r>
      <w:r>
        <w:rPr>
          <w:color w:val="000000" w:themeColor="text1"/>
        </w:rPr>
        <w:t xml:space="preserve"> However, in the early years of its development, this movement did not profess the same nationalist aims as the Flemish Movement. As Lode </w:t>
      </w:r>
      <w:proofErr w:type="spellStart"/>
      <w:r>
        <w:rPr>
          <w:color w:val="000000" w:themeColor="text1"/>
        </w:rPr>
        <w:t>Wils</w:t>
      </w:r>
      <w:proofErr w:type="spellEnd"/>
      <w:r>
        <w:rPr>
          <w:color w:val="000000" w:themeColor="text1"/>
        </w:rPr>
        <w:t xml:space="preserve"> argues, most members of the Walloon Movement focused on constructing a Belgian identity or on a Walloon identity within a French-speaking Belgium.</w:t>
      </w:r>
      <w:r>
        <w:rPr>
          <w:rStyle w:val="FootnoteReference"/>
          <w:color w:val="000000" w:themeColor="text1"/>
        </w:rPr>
        <w:footnoteReference w:id="29"/>
      </w:r>
      <w:r>
        <w:rPr>
          <w:color w:val="000000" w:themeColor="text1"/>
        </w:rPr>
        <w:t xml:space="preserve"> </w:t>
      </w:r>
    </w:p>
    <w:p w14:paraId="35150362" w14:textId="77777777" w:rsidR="00961436" w:rsidRDefault="00961436" w:rsidP="00961436">
      <w:pPr>
        <w:spacing w:line="480" w:lineRule="auto"/>
        <w:ind w:firstLine="720"/>
        <w:rPr>
          <w:color w:val="000000" w:themeColor="text1"/>
        </w:rPr>
      </w:pPr>
      <w:r>
        <w:rPr>
          <w:color w:val="000000" w:themeColor="text1"/>
        </w:rPr>
        <w:t>Much scholarly work on Walloon identity in the twenty-first century has reinforced the twentieth-century framing of Walloon identity. Recent scholarship focuses on its civic features, like allegiance to the rule of law and institutions.</w:t>
      </w:r>
      <w:r>
        <w:rPr>
          <w:rStyle w:val="FootnoteReference"/>
          <w:color w:val="000000" w:themeColor="text1"/>
        </w:rPr>
        <w:footnoteReference w:id="30"/>
      </w:r>
      <w:r>
        <w:rPr>
          <w:color w:val="000000" w:themeColor="text1"/>
        </w:rPr>
        <w:t xml:space="preserve"> However, some scholars challenge this presentation of the Walloon Movement. Maarten Van </w:t>
      </w:r>
      <w:proofErr w:type="spellStart"/>
      <w:r>
        <w:rPr>
          <w:color w:val="000000" w:themeColor="text1"/>
        </w:rPr>
        <w:t>Ginderachter</w:t>
      </w:r>
      <w:proofErr w:type="spellEnd"/>
      <w:r>
        <w:rPr>
          <w:color w:val="000000" w:themeColor="text1"/>
        </w:rPr>
        <w:t xml:space="preserve"> and </w:t>
      </w:r>
      <w:proofErr w:type="spellStart"/>
      <w:r>
        <w:rPr>
          <w:color w:val="000000" w:themeColor="text1"/>
        </w:rPr>
        <w:t>Joep</w:t>
      </w:r>
      <w:proofErr w:type="spellEnd"/>
      <w:r>
        <w:rPr>
          <w:color w:val="000000" w:themeColor="text1"/>
        </w:rPr>
        <w:t xml:space="preserve"> </w:t>
      </w:r>
      <w:proofErr w:type="spellStart"/>
      <w:r>
        <w:rPr>
          <w:color w:val="000000" w:themeColor="text1"/>
        </w:rPr>
        <w:t>Leerssen</w:t>
      </w:r>
      <w:proofErr w:type="spellEnd"/>
      <w:r>
        <w:rPr>
          <w:color w:val="000000" w:themeColor="text1"/>
        </w:rPr>
        <w:t xml:space="preserve"> argue that </w:t>
      </w:r>
      <w:r>
        <w:rPr>
          <w:color w:val="000000" w:themeColor="text1"/>
        </w:rPr>
        <w:lastRenderedPageBreak/>
        <w:t>Walloon identity is based just as much on ethnic markers of identity, like language and history, as Flemish identity.</w:t>
      </w:r>
      <w:r>
        <w:rPr>
          <w:rStyle w:val="FootnoteReference"/>
          <w:color w:val="000000" w:themeColor="text1"/>
        </w:rPr>
        <w:footnoteReference w:id="31"/>
      </w:r>
      <w:r>
        <w:rPr>
          <w:color w:val="000000" w:themeColor="text1"/>
        </w:rPr>
        <w:t xml:space="preserve"> Following the argument of Van </w:t>
      </w:r>
      <w:proofErr w:type="spellStart"/>
      <w:r>
        <w:rPr>
          <w:color w:val="000000" w:themeColor="text1"/>
        </w:rPr>
        <w:t>Ginderachter</w:t>
      </w:r>
      <w:proofErr w:type="spellEnd"/>
      <w:r>
        <w:rPr>
          <w:color w:val="000000" w:themeColor="text1"/>
        </w:rPr>
        <w:t xml:space="preserve"> and </w:t>
      </w:r>
      <w:proofErr w:type="spellStart"/>
      <w:r>
        <w:rPr>
          <w:color w:val="000000" w:themeColor="text1"/>
        </w:rPr>
        <w:t>Leerssen</w:t>
      </w:r>
      <w:proofErr w:type="spellEnd"/>
      <w:r>
        <w:rPr>
          <w:color w:val="000000" w:themeColor="text1"/>
        </w:rPr>
        <w:t>, chapter two explores the early links between Walloon and Flemish identity in the twentieth century, as well as how the underpinnings of early constructions of both identities continue to influence their development.</w:t>
      </w:r>
    </w:p>
    <w:p w14:paraId="022F9535" w14:textId="77777777" w:rsidR="00961436" w:rsidRPr="009F539E" w:rsidRDefault="00961436" w:rsidP="00961436">
      <w:pPr>
        <w:spacing w:line="480" w:lineRule="auto"/>
        <w:rPr>
          <w:color w:val="000000" w:themeColor="text1"/>
        </w:rPr>
      </w:pPr>
      <w:r>
        <w:rPr>
          <w:b/>
          <w:color w:val="000000" w:themeColor="text1"/>
        </w:rPr>
        <w:t>Structure</w:t>
      </w:r>
    </w:p>
    <w:p w14:paraId="767BB41E" w14:textId="77777777" w:rsidR="00961436" w:rsidRDefault="00961436" w:rsidP="00961436">
      <w:pPr>
        <w:spacing w:line="480" w:lineRule="auto"/>
        <w:ind w:firstLine="720"/>
        <w:rPr>
          <w:color w:val="000000" w:themeColor="text1"/>
        </w:rPr>
      </w:pPr>
      <w:r>
        <w:rPr>
          <w:color w:val="000000" w:themeColor="text1"/>
        </w:rPr>
        <w:t>This thesis is composed of three chapters. The first chapter establishes a</w:t>
      </w:r>
      <w:r w:rsidRPr="00D5478D">
        <w:rPr>
          <w:color w:val="000000" w:themeColor="text1"/>
        </w:rPr>
        <w:t xml:space="preserve"> </w:t>
      </w:r>
      <w:r>
        <w:rPr>
          <w:color w:val="000000" w:themeColor="text1"/>
        </w:rPr>
        <w:t xml:space="preserve">theoretical </w:t>
      </w:r>
      <w:r w:rsidRPr="00D5478D">
        <w:rPr>
          <w:color w:val="000000" w:themeColor="text1"/>
        </w:rPr>
        <w:t xml:space="preserve">framework for identity as a construct to ground the latter analysis. Then, </w:t>
      </w:r>
      <w:r>
        <w:rPr>
          <w:color w:val="000000" w:themeColor="text1"/>
        </w:rPr>
        <w:t>it provides historical background on each case, with a focus on the historical features that were often deployed in later constructions of identity</w:t>
      </w:r>
      <w:r w:rsidRPr="00D5478D">
        <w:rPr>
          <w:color w:val="000000" w:themeColor="text1"/>
        </w:rPr>
        <w:t xml:space="preserve">. </w:t>
      </w:r>
    </w:p>
    <w:p w14:paraId="02B9E701" w14:textId="136F8990" w:rsidR="00961436" w:rsidRDefault="00961436" w:rsidP="00961436">
      <w:pPr>
        <w:spacing w:line="480" w:lineRule="auto"/>
        <w:ind w:firstLine="720"/>
        <w:rPr>
          <w:color w:val="000000" w:themeColor="text1"/>
        </w:rPr>
      </w:pPr>
      <w:r>
        <w:rPr>
          <w:color w:val="000000" w:themeColor="text1"/>
        </w:rPr>
        <w:t xml:space="preserve">The second chapter focuses on early constructions of national identity utilizing folk culture. In Scotland, this </w:t>
      </w:r>
      <w:r w:rsidR="009C4FA7">
        <w:rPr>
          <w:color w:val="000000" w:themeColor="text1"/>
        </w:rPr>
        <w:t>occurred</w:t>
      </w:r>
      <w:r>
        <w:rPr>
          <w:color w:val="000000" w:themeColor="text1"/>
        </w:rPr>
        <w:t xml:space="preserve"> in the mid-nineteenth century and especially with the work of song collectors. The </w:t>
      </w:r>
      <w:proofErr w:type="gramStart"/>
      <w:r>
        <w:rPr>
          <w:color w:val="000000" w:themeColor="text1"/>
        </w:rPr>
        <w:t>particular features</w:t>
      </w:r>
      <w:proofErr w:type="gramEnd"/>
      <w:r>
        <w:rPr>
          <w:color w:val="000000" w:themeColor="text1"/>
        </w:rPr>
        <w:t xml:space="preserve"> of Japanese imperialism in 1920s and 1930s Korea provided the context for increased focus by Korean intellectuals on folk culture, its role in Korean identity, and its potential as a tool of resistance. For Belgium, the chapter concentrates on the development of Flemish identity in the late nineteenth and early twentieth centuries and the response of Walloons in the early twentieth century.</w:t>
      </w:r>
    </w:p>
    <w:p w14:paraId="30DFBE65" w14:textId="77777777" w:rsidR="00961436" w:rsidRDefault="00961436" w:rsidP="00961436">
      <w:pPr>
        <w:spacing w:line="480" w:lineRule="auto"/>
        <w:ind w:firstLine="720"/>
        <w:rPr>
          <w:color w:val="000000" w:themeColor="text1"/>
        </w:rPr>
      </w:pPr>
      <w:r>
        <w:rPr>
          <w:color w:val="000000" w:themeColor="text1"/>
        </w:rPr>
        <w:t xml:space="preserve">Chapter three details the reconstruction of national identity in each case and how actors renegotiated the role of folk culture depending on the way each identity was utilized. In all three cases, the identity was continually reconstructed in the face of changing circumstance and new challenges. Therefore, the way folk culture was deployed also changes in each case. In Scotland, </w:t>
      </w:r>
      <w:r>
        <w:rPr>
          <w:color w:val="000000" w:themeColor="text1"/>
        </w:rPr>
        <w:lastRenderedPageBreak/>
        <w:t>the changing political situation of the 1960s and 1970s and the rise of the Scottish National Party framed a refocusing of Scottish identity toward history. During the 1970s and 1980s, both North and South Korea fought for legitimacy both with their people and in the wider geo-political order and constructions of Korean identity began to rely more on recent history. Lastly, an examination of the development of xenophobia and anti-immigrant rhetoric in Flanders in the 1990s and early 2000s is complemented by an exploration of the Walloon response during those same decades.</w:t>
      </w:r>
    </w:p>
    <w:p w14:paraId="129808E8" w14:textId="0295EDD6" w:rsidR="00961436" w:rsidRDefault="00961436" w:rsidP="00961436">
      <w:pPr>
        <w:spacing w:line="480" w:lineRule="auto"/>
        <w:ind w:firstLine="720"/>
        <w:rPr>
          <w:color w:val="000000" w:themeColor="text1"/>
        </w:rPr>
      </w:pPr>
      <w:r>
        <w:rPr>
          <w:color w:val="000000" w:themeColor="text1"/>
        </w:rPr>
        <w:t>While the three cases function in different time periods and in different contexts, examining these cases together illuminates an important aspect of national identity construction. This thesis argues that folk culture is emphasized in national identity when it is needed to help construct an identity at two levels: to both internally unify a group and to create an identity in opposition to another group. Therefore, where folk culture was deployed, identity construction occur</w:t>
      </w:r>
      <w:r w:rsidR="004B5393">
        <w:rPr>
          <w:color w:val="000000" w:themeColor="text1"/>
        </w:rPr>
        <w:t>r</w:t>
      </w:r>
      <w:r>
        <w:rPr>
          <w:color w:val="000000" w:themeColor="text1"/>
        </w:rPr>
        <w:t xml:space="preserve">ed both internally and externally. As identities are reconstructed and redeployed, their forms and contents can and do change, therefore altering the role of folk culture in national identity. Through this conclusion, this thesis also argues for a view of culture </w:t>
      </w:r>
      <w:r w:rsidR="008138D4">
        <w:rPr>
          <w:color w:val="000000" w:themeColor="text1"/>
        </w:rPr>
        <w:t>and identity that recognizes their</w:t>
      </w:r>
      <w:r>
        <w:rPr>
          <w:color w:val="000000" w:themeColor="text1"/>
        </w:rPr>
        <w:t xml:space="preserve"> impermanence. Instead of being timeless, both culture and identity are constantly changing and evolving. This view will be returned to in the conclusion.</w:t>
      </w:r>
    </w:p>
    <w:p w14:paraId="6D9A5916" w14:textId="77777777" w:rsidR="00961436" w:rsidRDefault="00961436" w:rsidP="00961436"/>
    <w:p w14:paraId="555892A8" w14:textId="77777777" w:rsidR="00961436" w:rsidRDefault="00961436">
      <w:r>
        <w:br w:type="page"/>
      </w:r>
    </w:p>
    <w:p w14:paraId="41FF2600" w14:textId="77777777" w:rsidR="004C3540" w:rsidRDefault="00961436" w:rsidP="00F25E8B">
      <w:pPr>
        <w:spacing w:line="480" w:lineRule="auto"/>
        <w:jc w:val="center"/>
        <w:rPr>
          <w:b/>
        </w:rPr>
      </w:pPr>
      <w:r>
        <w:rPr>
          <w:b/>
        </w:rPr>
        <w:lastRenderedPageBreak/>
        <w:t>Chapter 1:</w:t>
      </w:r>
    </w:p>
    <w:p w14:paraId="7461A836" w14:textId="77777777" w:rsidR="00961436" w:rsidRDefault="00961436" w:rsidP="00F25E8B">
      <w:pPr>
        <w:spacing w:line="480" w:lineRule="auto"/>
        <w:jc w:val="center"/>
        <w:rPr>
          <w:b/>
        </w:rPr>
      </w:pPr>
      <w:r>
        <w:rPr>
          <w:b/>
        </w:rPr>
        <w:t>Imagining Folk Culture</w:t>
      </w:r>
    </w:p>
    <w:p w14:paraId="617F1421" w14:textId="77777777" w:rsidR="00961436" w:rsidRPr="006073EE" w:rsidRDefault="00961436" w:rsidP="00961436">
      <w:pPr>
        <w:spacing w:line="480" w:lineRule="auto"/>
        <w:rPr>
          <w:color w:val="000000" w:themeColor="text1"/>
        </w:rPr>
      </w:pPr>
      <w:r>
        <w:rPr>
          <w:color w:val="000000" w:themeColor="text1"/>
        </w:rPr>
        <w:tab/>
        <w:t>Before exploring how folk culture is deployed in national identity in each of the three case studies, a theoretical grounding for national identity and nationalism, as well as folk culture is set forth. Then, the historical background of each case study is laid out, to provide a foundation for later discussions of each case.</w:t>
      </w:r>
    </w:p>
    <w:p w14:paraId="63342135" w14:textId="77777777" w:rsidR="00961436" w:rsidRPr="00D5478D" w:rsidRDefault="00961436" w:rsidP="00961436">
      <w:pPr>
        <w:spacing w:line="480" w:lineRule="auto"/>
        <w:rPr>
          <w:b/>
          <w:color w:val="000000" w:themeColor="text1"/>
        </w:rPr>
      </w:pPr>
      <w:r w:rsidRPr="00D5478D">
        <w:rPr>
          <w:b/>
          <w:color w:val="000000" w:themeColor="text1"/>
        </w:rPr>
        <w:t>Theory</w:t>
      </w:r>
    </w:p>
    <w:p w14:paraId="61EAEBAF" w14:textId="77777777" w:rsidR="00961436" w:rsidRPr="00D5478D" w:rsidRDefault="00961436" w:rsidP="00961436">
      <w:pPr>
        <w:spacing w:line="480" w:lineRule="auto"/>
        <w:ind w:firstLine="720"/>
        <w:rPr>
          <w:color w:val="000000" w:themeColor="text1"/>
        </w:rPr>
      </w:pPr>
      <w:r w:rsidRPr="00D5478D">
        <w:rPr>
          <w:color w:val="000000" w:themeColor="text1"/>
        </w:rPr>
        <w:t>In examining the deployment of folk culture in Scotland, Belg</w:t>
      </w:r>
      <w:r>
        <w:rPr>
          <w:color w:val="000000" w:themeColor="text1"/>
        </w:rPr>
        <w:t xml:space="preserve">ium, and Korea, this thesis </w:t>
      </w:r>
      <w:r w:rsidRPr="00D5478D">
        <w:rPr>
          <w:color w:val="000000" w:themeColor="text1"/>
        </w:rPr>
        <w:t>analyze</w:t>
      </w:r>
      <w:r>
        <w:rPr>
          <w:color w:val="000000" w:themeColor="text1"/>
        </w:rPr>
        <w:t>s</w:t>
      </w:r>
      <w:r w:rsidRPr="00D5478D">
        <w:rPr>
          <w:color w:val="000000" w:themeColor="text1"/>
        </w:rPr>
        <w:t xml:space="preserve"> the folk music and dance deployed for their content and the way </w:t>
      </w:r>
      <w:r>
        <w:rPr>
          <w:color w:val="000000" w:themeColor="text1"/>
        </w:rPr>
        <w:t>actors utilized them</w:t>
      </w:r>
      <w:r w:rsidRPr="00D5478D">
        <w:rPr>
          <w:color w:val="000000" w:themeColor="text1"/>
        </w:rPr>
        <w:t xml:space="preserve"> in relation to national identity. To do this, clear definitions of nationalism, folk music, and folk dance must be </w:t>
      </w:r>
      <w:r>
        <w:rPr>
          <w:color w:val="000000" w:themeColor="text1"/>
        </w:rPr>
        <w:t>established</w:t>
      </w:r>
      <w:r w:rsidRPr="00D5478D">
        <w:rPr>
          <w:color w:val="000000" w:themeColor="text1"/>
        </w:rPr>
        <w:t xml:space="preserve">. These definitions will pull from two main literatures: nationalism and folk culture. </w:t>
      </w:r>
    </w:p>
    <w:p w14:paraId="0C6074F7" w14:textId="77777777" w:rsidR="00961436" w:rsidRPr="00D5478D" w:rsidRDefault="00961436" w:rsidP="00961436">
      <w:pPr>
        <w:spacing w:line="480" w:lineRule="auto"/>
        <w:rPr>
          <w:color w:val="000000" w:themeColor="text1"/>
        </w:rPr>
      </w:pPr>
      <w:r w:rsidRPr="00D5478D">
        <w:rPr>
          <w:color w:val="000000" w:themeColor="text1"/>
        </w:rPr>
        <w:tab/>
        <w:t xml:space="preserve">Perhaps the most famous framework for understanding nationalism is Benedict Anderson’s </w:t>
      </w:r>
      <w:r w:rsidRPr="00D5478D">
        <w:rPr>
          <w:i/>
          <w:color w:val="000000" w:themeColor="text1"/>
        </w:rPr>
        <w:t>Imagined Communities</w:t>
      </w:r>
      <w:r>
        <w:rPr>
          <w:color w:val="000000" w:themeColor="text1"/>
        </w:rPr>
        <w:t>. This thesis utilizes Anderson’s definition of the nation as</w:t>
      </w:r>
      <w:r w:rsidRPr="00D5478D">
        <w:rPr>
          <w:color w:val="000000" w:themeColor="text1"/>
        </w:rPr>
        <w:t xml:space="preserve"> the basis of understanding for both nationalism and identity</w:t>
      </w:r>
      <w:r>
        <w:rPr>
          <w:color w:val="000000" w:themeColor="text1"/>
        </w:rPr>
        <w:t>. He defines t</w:t>
      </w:r>
      <w:r w:rsidRPr="00D5478D">
        <w:rPr>
          <w:color w:val="000000" w:themeColor="text1"/>
        </w:rPr>
        <w:t>he nation as “an imagined political community – and imagined as both inherently limited and sovereign.”</w:t>
      </w:r>
      <w:r w:rsidRPr="00D5478D">
        <w:rPr>
          <w:rStyle w:val="FootnoteReference"/>
          <w:color w:val="000000" w:themeColor="text1"/>
        </w:rPr>
        <w:footnoteReference w:id="32"/>
      </w:r>
      <w:r w:rsidRPr="00D5478D">
        <w:rPr>
          <w:color w:val="000000" w:themeColor="text1"/>
        </w:rPr>
        <w:t xml:space="preserve"> </w:t>
      </w:r>
      <w:r>
        <w:rPr>
          <w:color w:val="000000" w:themeColor="text1"/>
        </w:rPr>
        <w:t>Anderson focuses his discussion of the development of nationalism on language. He identifies</w:t>
      </w:r>
      <w:r w:rsidRPr="00D5478D">
        <w:rPr>
          <w:color w:val="000000" w:themeColor="text1"/>
        </w:rPr>
        <w:t xml:space="preserve"> two ways language plays into the construction of nationalism: official languages and print vernaculars. Official languages developed when a </w:t>
      </w:r>
      <w:proofErr w:type="gramStart"/>
      <w:r w:rsidRPr="00D5478D">
        <w:rPr>
          <w:color w:val="000000" w:themeColor="text1"/>
        </w:rPr>
        <w:t>particular language</w:t>
      </w:r>
      <w:proofErr w:type="gramEnd"/>
      <w:r w:rsidRPr="00D5478D">
        <w:rPr>
          <w:color w:val="000000" w:themeColor="text1"/>
        </w:rPr>
        <w:t xml:space="preserve"> was used by the developing bureaucracy.</w:t>
      </w:r>
      <w:r w:rsidRPr="00D5478D">
        <w:rPr>
          <w:rStyle w:val="FootnoteReference"/>
          <w:color w:val="000000" w:themeColor="text1"/>
        </w:rPr>
        <w:footnoteReference w:id="33"/>
      </w:r>
      <w:r w:rsidRPr="00D5478D">
        <w:rPr>
          <w:color w:val="000000" w:themeColor="text1"/>
        </w:rPr>
        <w:t xml:space="preserve"> Print vernaculars, on the other hand, developed with p</w:t>
      </w:r>
      <w:r>
        <w:rPr>
          <w:color w:val="000000" w:themeColor="text1"/>
        </w:rPr>
        <w:t>rint capitalism and became the medium</w:t>
      </w:r>
      <w:r w:rsidRPr="00D5478D">
        <w:rPr>
          <w:color w:val="000000" w:themeColor="text1"/>
        </w:rPr>
        <w:t xml:space="preserve"> of communication within the nation</w:t>
      </w:r>
      <w:r>
        <w:rPr>
          <w:color w:val="000000" w:themeColor="text1"/>
        </w:rPr>
        <w:t xml:space="preserve">. The standardization of a print vernacular for a </w:t>
      </w:r>
      <w:r>
        <w:rPr>
          <w:color w:val="000000" w:themeColor="text1"/>
        </w:rPr>
        <w:lastRenderedPageBreak/>
        <w:t>particular linguistic community</w:t>
      </w:r>
      <w:r w:rsidRPr="00D5478D">
        <w:rPr>
          <w:color w:val="000000" w:themeColor="text1"/>
        </w:rPr>
        <w:t xml:space="preserve"> allowed each member to see themselves as part of a greater connected whole, among other developments.</w:t>
      </w:r>
      <w:r w:rsidRPr="00D5478D">
        <w:rPr>
          <w:rStyle w:val="FootnoteReference"/>
          <w:color w:val="000000" w:themeColor="text1"/>
        </w:rPr>
        <w:footnoteReference w:id="34"/>
      </w:r>
      <w:r w:rsidRPr="00D5478D">
        <w:rPr>
          <w:color w:val="000000" w:themeColor="text1"/>
        </w:rPr>
        <w:t xml:space="preserve"> While these uses of language have an impact on the construction of</w:t>
      </w:r>
      <w:r>
        <w:rPr>
          <w:color w:val="000000" w:themeColor="text1"/>
        </w:rPr>
        <w:t xml:space="preserve"> national identity, this thesis’</w:t>
      </w:r>
      <w:r w:rsidRPr="00D5478D">
        <w:rPr>
          <w:color w:val="000000" w:themeColor="text1"/>
        </w:rPr>
        <w:t xml:space="preserve"> focus on folk music and dance requires a </w:t>
      </w:r>
      <w:r>
        <w:rPr>
          <w:color w:val="000000" w:themeColor="text1"/>
        </w:rPr>
        <w:t>complementary theory in addition to Anderson</w:t>
      </w:r>
      <w:r w:rsidRPr="00D5478D">
        <w:rPr>
          <w:color w:val="000000" w:themeColor="text1"/>
        </w:rPr>
        <w:t>.</w:t>
      </w:r>
    </w:p>
    <w:p w14:paraId="6B73D9C8" w14:textId="77777777" w:rsidR="00961436" w:rsidRPr="00D5478D" w:rsidRDefault="00961436" w:rsidP="00961436">
      <w:pPr>
        <w:spacing w:line="480" w:lineRule="auto"/>
        <w:ind w:firstLine="720"/>
        <w:rPr>
          <w:color w:val="000000" w:themeColor="text1"/>
        </w:rPr>
      </w:pPr>
      <w:r w:rsidRPr="00D5478D">
        <w:rPr>
          <w:color w:val="000000" w:themeColor="text1"/>
        </w:rPr>
        <w:t>The ethno-symbolic approach to nationalism provides a framework that emphasizes how specific items are deployed in the construction of nationalism and identity. Anthony D. Smith def</w:t>
      </w:r>
      <w:r>
        <w:rPr>
          <w:color w:val="000000" w:themeColor="text1"/>
        </w:rPr>
        <w:t>ines ethno-symbolism</w:t>
      </w:r>
      <w:r w:rsidRPr="00D5478D">
        <w:rPr>
          <w:color w:val="000000" w:themeColor="text1"/>
        </w:rPr>
        <w:t xml:space="preserve"> as follows:</w:t>
      </w:r>
    </w:p>
    <w:p w14:paraId="5676B462" w14:textId="77777777" w:rsidR="00961436" w:rsidRDefault="00961436" w:rsidP="00532505">
      <w:pPr>
        <w:ind w:left="720"/>
        <w:rPr>
          <w:color w:val="000000" w:themeColor="text1"/>
        </w:rPr>
      </w:pPr>
      <w:r w:rsidRPr="00D5478D">
        <w:rPr>
          <w:color w:val="000000" w:themeColor="text1"/>
        </w:rPr>
        <w:t xml:space="preserve">What gives nationalism its power are the myths, memories, traditions, and symbols of ethnic heritages and the ways in which a popular </w:t>
      </w:r>
      <w:r w:rsidRPr="00D5478D">
        <w:rPr>
          <w:i/>
          <w:color w:val="000000" w:themeColor="text1"/>
        </w:rPr>
        <w:t>living past</w:t>
      </w:r>
      <w:r w:rsidRPr="00D5478D">
        <w:rPr>
          <w:color w:val="000000" w:themeColor="text1"/>
        </w:rPr>
        <w:t xml:space="preserve"> has been, and can be, rediscovered and reinterpreted by modern nationalist intelligentsias. It is from these elements of myth, memory, symbol, and tradition that modern national identities are reconstituted in each generation, as the nation becomes more inclusive and as its members cope with new challenges.</w:t>
      </w:r>
      <w:r w:rsidRPr="00D5478D">
        <w:rPr>
          <w:rStyle w:val="FootnoteReference"/>
          <w:color w:val="000000" w:themeColor="text1"/>
        </w:rPr>
        <w:footnoteReference w:id="35"/>
      </w:r>
      <w:r w:rsidRPr="00D5478D">
        <w:rPr>
          <w:color w:val="000000" w:themeColor="text1"/>
        </w:rPr>
        <w:t xml:space="preserve"> </w:t>
      </w:r>
    </w:p>
    <w:p w14:paraId="6239927A" w14:textId="77777777" w:rsidR="00532505" w:rsidRPr="00D5478D" w:rsidRDefault="00532505" w:rsidP="00532505">
      <w:pPr>
        <w:ind w:left="720"/>
        <w:rPr>
          <w:color w:val="000000" w:themeColor="text1"/>
        </w:rPr>
      </w:pPr>
    </w:p>
    <w:p w14:paraId="22F2EEA4" w14:textId="77777777" w:rsidR="00961436" w:rsidRPr="00D5478D" w:rsidRDefault="00961436" w:rsidP="00961436">
      <w:pPr>
        <w:spacing w:line="480" w:lineRule="auto"/>
        <w:rPr>
          <w:color w:val="000000" w:themeColor="text1"/>
        </w:rPr>
      </w:pPr>
      <w:r>
        <w:rPr>
          <w:color w:val="000000" w:themeColor="text1"/>
        </w:rPr>
        <w:t>This theory</w:t>
      </w:r>
      <w:r w:rsidRPr="00D5478D">
        <w:rPr>
          <w:color w:val="000000" w:themeColor="text1"/>
        </w:rPr>
        <w:t xml:space="preserve"> creates room for understanding differences in how multiple generations have deployed or redeployed </w:t>
      </w:r>
      <w:proofErr w:type="gramStart"/>
      <w:r w:rsidRPr="00D5478D">
        <w:rPr>
          <w:color w:val="000000" w:themeColor="text1"/>
        </w:rPr>
        <w:t>particular music</w:t>
      </w:r>
      <w:proofErr w:type="gramEnd"/>
      <w:r w:rsidRPr="00D5478D">
        <w:rPr>
          <w:color w:val="000000" w:themeColor="text1"/>
        </w:rPr>
        <w:t xml:space="preserve"> or dance in construction of national identity. The ethno-symbolic approach emphasizes the dynamic and constructed nature of national identity which is critical to understanding how </w:t>
      </w:r>
      <w:r>
        <w:rPr>
          <w:color w:val="000000" w:themeColor="text1"/>
        </w:rPr>
        <w:t>constructions of the nation varied</w:t>
      </w:r>
      <w:r w:rsidRPr="00D5478D">
        <w:rPr>
          <w:color w:val="000000" w:themeColor="text1"/>
        </w:rPr>
        <w:t xml:space="preserve"> over time. </w:t>
      </w:r>
    </w:p>
    <w:p w14:paraId="5CB9D7A7" w14:textId="77777777" w:rsidR="00961436" w:rsidRPr="00D5478D" w:rsidRDefault="00961436" w:rsidP="00961436">
      <w:pPr>
        <w:spacing w:line="480" w:lineRule="auto"/>
        <w:ind w:firstLine="720"/>
        <w:rPr>
          <w:color w:val="000000" w:themeColor="text1"/>
        </w:rPr>
      </w:pPr>
      <w:r w:rsidRPr="00D5478D">
        <w:rPr>
          <w:color w:val="000000" w:themeColor="text1"/>
        </w:rPr>
        <w:t>The ethno-symbolic framework also presents a helpful way of understanding the actions of the people deploying folk culture as they attempt</w:t>
      </w:r>
      <w:r>
        <w:rPr>
          <w:color w:val="000000" w:themeColor="text1"/>
        </w:rPr>
        <w:t>ed</w:t>
      </w:r>
      <w:r w:rsidRPr="00D5478D">
        <w:rPr>
          <w:color w:val="000000" w:themeColor="text1"/>
        </w:rPr>
        <w:t xml:space="preserve"> to construct national identity. Smith asserts they are act</w:t>
      </w:r>
      <w:r>
        <w:rPr>
          <w:color w:val="000000" w:themeColor="text1"/>
        </w:rPr>
        <w:t>s</w:t>
      </w:r>
      <w:r w:rsidRPr="00D5478D">
        <w:rPr>
          <w:color w:val="000000" w:themeColor="text1"/>
        </w:rPr>
        <w:t xml:space="preserve"> of </w:t>
      </w:r>
      <w:proofErr w:type="spellStart"/>
      <w:r w:rsidRPr="00D5478D">
        <w:rPr>
          <w:color w:val="000000" w:themeColor="text1"/>
        </w:rPr>
        <w:t>reappropriation</w:t>
      </w:r>
      <w:proofErr w:type="spellEnd"/>
      <w:r w:rsidRPr="00D5478D">
        <w:rPr>
          <w:color w:val="000000" w:themeColor="text1"/>
        </w:rPr>
        <w:t xml:space="preserve">, or “a reaching back into the ethnic past to obtain the </w:t>
      </w:r>
      <w:r w:rsidRPr="00D5478D">
        <w:rPr>
          <w:i/>
          <w:color w:val="000000" w:themeColor="text1"/>
        </w:rPr>
        <w:t>authentic</w:t>
      </w:r>
      <w:r w:rsidRPr="00D5478D">
        <w:rPr>
          <w:color w:val="000000" w:themeColor="text1"/>
        </w:rPr>
        <w:t xml:space="preserve"> materials, and ethos for a distinct modern nation.”</w:t>
      </w:r>
      <w:r w:rsidRPr="00D5478D">
        <w:rPr>
          <w:rStyle w:val="FootnoteReference"/>
          <w:color w:val="000000" w:themeColor="text1"/>
        </w:rPr>
        <w:footnoteReference w:id="36"/>
      </w:r>
      <w:r w:rsidRPr="00D5478D">
        <w:rPr>
          <w:color w:val="000000" w:themeColor="text1"/>
        </w:rPr>
        <w:t xml:space="preserve"> Many collectors of folk song and </w:t>
      </w:r>
      <w:r>
        <w:rPr>
          <w:color w:val="000000" w:themeColor="text1"/>
        </w:rPr>
        <w:t>dance did, in fact, engage</w:t>
      </w:r>
      <w:r w:rsidRPr="00D5478D">
        <w:rPr>
          <w:color w:val="000000" w:themeColor="text1"/>
        </w:rPr>
        <w:t xml:space="preserve"> in </w:t>
      </w:r>
      <w:proofErr w:type="spellStart"/>
      <w:r w:rsidRPr="00D5478D">
        <w:rPr>
          <w:color w:val="000000" w:themeColor="text1"/>
        </w:rPr>
        <w:t>reappropriation</w:t>
      </w:r>
      <w:proofErr w:type="spellEnd"/>
      <w:r w:rsidRPr="00D5478D">
        <w:rPr>
          <w:color w:val="000000" w:themeColor="text1"/>
        </w:rPr>
        <w:t xml:space="preserve">. Through this deeply ethno-symbolic process </w:t>
      </w:r>
      <w:r>
        <w:rPr>
          <w:color w:val="000000" w:themeColor="text1"/>
        </w:rPr>
        <w:t>of searching for</w:t>
      </w:r>
      <w:r w:rsidRPr="00D5478D">
        <w:rPr>
          <w:color w:val="000000" w:themeColor="text1"/>
        </w:rPr>
        <w:t xml:space="preserve"> the “true” or “historic” nat</w:t>
      </w:r>
      <w:r>
        <w:rPr>
          <w:color w:val="000000" w:themeColor="text1"/>
        </w:rPr>
        <w:t>ion in folk culture, they found</w:t>
      </w:r>
      <w:r w:rsidRPr="00D5478D">
        <w:rPr>
          <w:color w:val="000000" w:themeColor="text1"/>
        </w:rPr>
        <w:t xml:space="preserve"> folk culture </w:t>
      </w:r>
      <w:r>
        <w:rPr>
          <w:color w:val="000000" w:themeColor="text1"/>
        </w:rPr>
        <w:t xml:space="preserve">to be a useful </w:t>
      </w:r>
      <w:r>
        <w:rPr>
          <w:color w:val="000000" w:themeColor="text1"/>
        </w:rPr>
        <w:lastRenderedPageBreak/>
        <w:t>tool</w:t>
      </w:r>
      <w:r w:rsidRPr="00D5478D">
        <w:rPr>
          <w:color w:val="000000" w:themeColor="text1"/>
        </w:rPr>
        <w:t xml:space="preserve">. </w:t>
      </w:r>
      <w:proofErr w:type="spellStart"/>
      <w:r w:rsidRPr="00D5478D">
        <w:rPr>
          <w:color w:val="000000" w:themeColor="text1"/>
        </w:rPr>
        <w:t>Reappropriation</w:t>
      </w:r>
      <w:proofErr w:type="spellEnd"/>
      <w:r w:rsidRPr="00D5478D">
        <w:rPr>
          <w:color w:val="000000" w:themeColor="text1"/>
        </w:rPr>
        <w:t xml:space="preserve"> also broaches the question of authenticity, </w:t>
      </w:r>
      <w:r>
        <w:rPr>
          <w:color w:val="000000" w:themeColor="text1"/>
        </w:rPr>
        <w:t>or the origins of these traditions</w:t>
      </w:r>
      <w:r w:rsidRPr="00D5478D">
        <w:rPr>
          <w:color w:val="000000" w:themeColor="text1"/>
        </w:rPr>
        <w:t xml:space="preserve">. </w:t>
      </w:r>
      <w:r>
        <w:rPr>
          <w:color w:val="000000" w:themeColor="text1"/>
        </w:rPr>
        <w:t>Collectors and scholars have</w:t>
      </w:r>
      <w:r w:rsidRPr="00D5478D">
        <w:rPr>
          <w:color w:val="000000" w:themeColor="text1"/>
        </w:rPr>
        <w:t xml:space="preserve"> often associated</w:t>
      </w:r>
      <w:r>
        <w:rPr>
          <w:color w:val="000000" w:themeColor="text1"/>
        </w:rPr>
        <w:t xml:space="preserve"> authenticity</w:t>
      </w:r>
      <w:r w:rsidRPr="00D5478D">
        <w:rPr>
          <w:color w:val="000000" w:themeColor="text1"/>
        </w:rPr>
        <w:t xml:space="preserve"> with the poor or rural classes, sometimes both, in a </w:t>
      </w:r>
      <w:proofErr w:type="gramStart"/>
      <w:r>
        <w:rPr>
          <w:color w:val="000000" w:themeColor="text1"/>
        </w:rPr>
        <w:t xml:space="preserve">particular </w:t>
      </w:r>
      <w:r w:rsidRPr="00D5478D">
        <w:rPr>
          <w:color w:val="000000" w:themeColor="text1"/>
        </w:rPr>
        <w:t>society</w:t>
      </w:r>
      <w:proofErr w:type="gramEnd"/>
      <w:r w:rsidRPr="00D5478D">
        <w:rPr>
          <w:color w:val="000000" w:themeColor="text1"/>
        </w:rPr>
        <w:t xml:space="preserve">. However, as the idea of </w:t>
      </w:r>
      <w:proofErr w:type="spellStart"/>
      <w:r w:rsidRPr="00D5478D">
        <w:rPr>
          <w:color w:val="000000" w:themeColor="text1"/>
        </w:rPr>
        <w:t>reappropriation</w:t>
      </w:r>
      <w:proofErr w:type="spellEnd"/>
      <w:r w:rsidRPr="00D5478D">
        <w:rPr>
          <w:color w:val="000000" w:themeColor="text1"/>
        </w:rPr>
        <w:t xml:space="preserve"> lays out, the criteria for these definitions of authenticity </w:t>
      </w:r>
      <w:r>
        <w:rPr>
          <w:color w:val="000000" w:themeColor="text1"/>
        </w:rPr>
        <w:t xml:space="preserve">were </w:t>
      </w:r>
      <w:r w:rsidRPr="00D5478D">
        <w:rPr>
          <w:color w:val="000000" w:themeColor="text1"/>
        </w:rPr>
        <w:t xml:space="preserve">also constructed. This means that appeals to authenticity should not be taken at face value, but rather must be examined to understand what they reveal about underlying values and characteristics of the nation under construction. </w:t>
      </w:r>
    </w:p>
    <w:p w14:paraId="609305D8" w14:textId="75D4CDD4" w:rsidR="00961436" w:rsidRPr="00D5478D" w:rsidRDefault="00961436" w:rsidP="00961436">
      <w:pPr>
        <w:spacing w:line="480" w:lineRule="auto"/>
        <w:ind w:firstLine="720"/>
        <w:rPr>
          <w:color w:val="000000" w:themeColor="text1"/>
        </w:rPr>
      </w:pPr>
      <w:r>
        <w:rPr>
          <w:color w:val="000000" w:themeColor="text1"/>
        </w:rPr>
        <w:t>This thesis asserts</w:t>
      </w:r>
      <w:r w:rsidRPr="00D5478D">
        <w:rPr>
          <w:color w:val="000000" w:themeColor="text1"/>
        </w:rPr>
        <w:t xml:space="preserve"> that folk culture, specifically dance and music, is deployed in the construction of national identity precisely because of its link with the “authentic” or “pure” nation. Before beginning an examination </w:t>
      </w:r>
      <w:r>
        <w:rPr>
          <w:color w:val="000000" w:themeColor="text1"/>
        </w:rPr>
        <w:t>of the ways in which this occur</w:t>
      </w:r>
      <w:r w:rsidR="005D2ADF">
        <w:rPr>
          <w:color w:val="000000" w:themeColor="text1"/>
        </w:rPr>
        <w:t>r</w:t>
      </w:r>
      <w:r>
        <w:rPr>
          <w:color w:val="000000" w:themeColor="text1"/>
        </w:rPr>
        <w:t>ed</w:t>
      </w:r>
      <w:r w:rsidRPr="00D5478D">
        <w:rPr>
          <w:color w:val="000000" w:themeColor="text1"/>
        </w:rPr>
        <w:t>, definitions of folk culture, folk music, and folk dance are necessary to delineate what is within the scope of this study. Definitions of these terms are wide ranging. In the context of this paper, contemporary scholarly definitions will be given and utilized to explore different examples of folk culture, music and dance</w:t>
      </w:r>
      <w:r>
        <w:rPr>
          <w:color w:val="000000" w:themeColor="text1"/>
        </w:rPr>
        <w:t>, as discussed below</w:t>
      </w:r>
      <w:r w:rsidRPr="00D5478D">
        <w:rPr>
          <w:color w:val="000000" w:themeColor="text1"/>
        </w:rPr>
        <w:t xml:space="preserve">. </w:t>
      </w:r>
    </w:p>
    <w:p w14:paraId="03542A0E" w14:textId="77777777" w:rsidR="00961436" w:rsidRPr="00D5478D" w:rsidRDefault="00961436" w:rsidP="00961436">
      <w:pPr>
        <w:spacing w:line="480" w:lineRule="auto"/>
        <w:ind w:firstLine="720"/>
        <w:rPr>
          <w:color w:val="000000" w:themeColor="text1"/>
        </w:rPr>
      </w:pPr>
      <w:r w:rsidRPr="00D5478D">
        <w:rPr>
          <w:color w:val="000000" w:themeColor="text1"/>
        </w:rPr>
        <w:t xml:space="preserve">Contemporarily, folk music can refer to a wide variety of music. Jeff Todd </w:t>
      </w:r>
      <w:proofErr w:type="spellStart"/>
      <w:r w:rsidRPr="00D5478D">
        <w:rPr>
          <w:color w:val="000000" w:themeColor="text1"/>
        </w:rPr>
        <w:t>Titon</w:t>
      </w:r>
      <w:proofErr w:type="spellEnd"/>
      <w:r w:rsidRPr="00D5478D">
        <w:rPr>
          <w:color w:val="000000" w:themeColor="text1"/>
        </w:rPr>
        <w:t xml:space="preserve"> defines folk music as “traditional, orally transmitted, and regionally and ethnically based genres of music, often performed in small groups with a major everyday emphasis on face-to-face communication and social interaction.”</w:t>
      </w:r>
      <w:r w:rsidRPr="00D5478D">
        <w:rPr>
          <w:rStyle w:val="FootnoteReference"/>
          <w:color w:val="000000" w:themeColor="text1"/>
        </w:rPr>
        <w:footnoteReference w:id="37"/>
      </w:r>
      <w:r w:rsidRPr="00D5478D">
        <w:rPr>
          <w:color w:val="000000" w:themeColor="text1"/>
        </w:rPr>
        <w:t xml:space="preserve"> This definition highlights the interactive, geographic, and social significance of folk music, and lays out criteria against which to measure potential examples. However, </w:t>
      </w:r>
      <w:r>
        <w:rPr>
          <w:color w:val="000000" w:themeColor="text1"/>
        </w:rPr>
        <w:t>as</w:t>
      </w:r>
      <w:r w:rsidRPr="00D5478D">
        <w:rPr>
          <w:color w:val="000000" w:themeColor="text1"/>
        </w:rPr>
        <w:t xml:space="preserve"> </w:t>
      </w:r>
      <w:proofErr w:type="spellStart"/>
      <w:r w:rsidRPr="00D5478D">
        <w:rPr>
          <w:color w:val="000000" w:themeColor="text1"/>
        </w:rPr>
        <w:t>Titon</w:t>
      </w:r>
      <w:proofErr w:type="spellEnd"/>
      <w:r w:rsidRPr="00D5478D">
        <w:rPr>
          <w:color w:val="000000" w:themeColor="text1"/>
        </w:rPr>
        <w:t xml:space="preserve"> outlines</w:t>
      </w:r>
      <w:r>
        <w:rPr>
          <w:color w:val="000000" w:themeColor="text1"/>
        </w:rPr>
        <w:t>, this definition has changed over time, beginning with an</w:t>
      </w:r>
      <w:r w:rsidRPr="00D5478D">
        <w:rPr>
          <w:color w:val="000000" w:themeColor="text1"/>
        </w:rPr>
        <w:t xml:space="preserve"> </w:t>
      </w:r>
      <w:r>
        <w:rPr>
          <w:color w:val="000000" w:themeColor="text1"/>
        </w:rPr>
        <w:t>early belief that folk music wa</w:t>
      </w:r>
      <w:r w:rsidRPr="00D5478D">
        <w:rPr>
          <w:color w:val="000000" w:themeColor="text1"/>
        </w:rPr>
        <w:t xml:space="preserve">s not </w:t>
      </w:r>
      <w:r>
        <w:rPr>
          <w:color w:val="000000" w:themeColor="text1"/>
        </w:rPr>
        <w:t xml:space="preserve">simply </w:t>
      </w:r>
      <w:r w:rsidRPr="00D5478D">
        <w:rPr>
          <w:color w:val="000000" w:themeColor="text1"/>
        </w:rPr>
        <w:t>popular music or art music. Instead, it was widely believed that folk music “could be found only among an agrarian, illiterate peasantry.”</w:t>
      </w:r>
      <w:r w:rsidRPr="00D5478D">
        <w:rPr>
          <w:rStyle w:val="FootnoteReference"/>
          <w:color w:val="000000" w:themeColor="text1"/>
        </w:rPr>
        <w:footnoteReference w:id="38"/>
      </w:r>
      <w:r w:rsidRPr="00D5478D">
        <w:rPr>
          <w:color w:val="000000" w:themeColor="text1"/>
        </w:rPr>
        <w:t xml:space="preserve"> This is </w:t>
      </w:r>
      <w:r w:rsidRPr="00D5478D">
        <w:rPr>
          <w:color w:val="000000" w:themeColor="text1"/>
        </w:rPr>
        <w:lastRenderedPageBreak/>
        <w:t>the criteria against which folk music was judged and determined to be “authentic” by those collecting and deploying it in</w:t>
      </w:r>
      <w:r>
        <w:rPr>
          <w:color w:val="000000" w:themeColor="text1"/>
        </w:rPr>
        <w:t xml:space="preserve"> their formation of</w:t>
      </w:r>
      <w:r w:rsidRPr="00D5478D">
        <w:rPr>
          <w:color w:val="000000" w:themeColor="text1"/>
        </w:rPr>
        <w:t xml:space="preserve"> national identities. Only “true” folk mus</w:t>
      </w:r>
      <w:r>
        <w:rPr>
          <w:color w:val="000000" w:themeColor="text1"/>
        </w:rPr>
        <w:t>ic, or that which came from the peasants, wa</w:t>
      </w:r>
      <w:r w:rsidRPr="00D5478D">
        <w:rPr>
          <w:color w:val="000000" w:themeColor="text1"/>
        </w:rPr>
        <w:t xml:space="preserve">s worthy to be called </w:t>
      </w:r>
      <w:r>
        <w:rPr>
          <w:color w:val="000000" w:themeColor="text1"/>
        </w:rPr>
        <w:t xml:space="preserve">as </w:t>
      </w:r>
      <w:r w:rsidRPr="00D5478D">
        <w:rPr>
          <w:color w:val="000000" w:themeColor="text1"/>
        </w:rPr>
        <w:t>such and serve as a founding stone of the identity of the nation. Using this definition, the pre-occupation with authenticating or trac</w:t>
      </w:r>
      <w:r>
        <w:rPr>
          <w:color w:val="000000" w:themeColor="text1"/>
        </w:rPr>
        <w:t>ing the origins of folk music becomes</w:t>
      </w:r>
      <w:r w:rsidRPr="00D5478D">
        <w:rPr>
          <w:color w:val="000000" w:themeColor="text1"/>
        </w:rPr>
        <w:t xml:space="preserve"> an act of ensuring a strong foundation for the construction of the nation.</w:t>
      </w:r>
    </w:p>
    <w:p w14:paraId="4EDE14DB" w14:textId="77777777" w:rsidR="00961436" w:rsidRPr="00D5478D" w:rsidRDefault="00961436" w:rsidP="00961436">
      <w:pPr>
        <w:spacing w:line="480" w:lineRule="auto"/>
        <w:rPr>
          <w:color w:val="000000" w:themeColor="text1"/>
        </w:rPr>
      </w:pPr>
      <w:r w:rsidRPr="00D5478D">
        <w:rPr>
          <w:color w:val="000000" w:themeColor="text1"/>
        </w:rPr>
        <w:tab/>
        <w:t xml:space="preserve">It is also necessary to see folk music within its broader context. As </w:t>
      </w:r>
      <w:proofErr w:type="spellStart"/>
      <w:r w:rsidRPr="00D5478D">
        <w:rPr>
          <w:color w:val="000000" w:themeColor="text1"/>
        </w:rPr>
        <w:t>Titon</w:t>
      </w:r>
      <w:proofErr w:type="spellEnd"/>
      <w:r w:rsidRPr="00D5478D">
        <w:rPr>
          <w:color w:val="000000" w:themeColor="text1"/>
        </w:rPr>
        <w:t xml:space="preserve"> asserts, folk music must be understood as a performance in which all present have a role.</w:t>
      </w:r>
      <w:r w:rsidRPr="00D5478D">
        <w:rPr>
          <w:rStyle w:val="FootnoteReference"/>
          <w:color w:val="000000" w:themeColor="text1"/>
        </w:rPr>
        <w:footnoteReference w:id="39"/>
      </w:r>
      <w:r w:rsidRPr="00D5478D">
        <w:rPr>
          <w:color w:val="000000" w:themeColor="text1"/>
        </w:rPr>
        <w:t xml:space="preserve"> The context of a performance will critically affect how folk music is understood and deployed. Reading a written version of folk music does not have the same effect as seeing and participating in a performance. As </w:t>
      </w:r>
      <w:proofErr w:type="spellStart"/>
      <w:r w:rsidRPr="00D5478D">
        <w:rPr>
          <w:color w:val="000000" w:themeColor="text1"/>
        </w:rPr>
        <w:t>Titon</w:t>
      </w:r>
      <w:proofErr w:type="spellEnd"/>
      <w:r w:rsidRPr="00D5478D">
        <w:rPr>
          <w:color w:val="000000" w:themeColor="text1"/>
        </w:rPr>
        <w:t xml:space="preserve"> argues, the emotional resonance of folk music is only made clear during and in the context of </w:t>
      </w:r>
      <w:r>
        <w:rPr>
          <w:color w:val="000000" w:themeColor="text1"/>
        </w:rPr>
        <w:t xml:space="preserve">its </w:t>
      </w:r>
      <w:r w:rsidRPr="00D5478D">
        <w:rPr>
          <w:color w:val="000000" w:themeColor="text1"/>
        </w:rPr>
        <w:t>performance, which is also when meaning</w:t>
      </w:r>
      <w:r>
        <w:rPr>
          <w:color w:val="000000" w:themeColor="text1"/>
        </w:rPr>
        <w:t>s are</w:t>
      </w:r>
      <w:r w:rsidRPr="00D5478D">
        <w:rPr>
          <w:color w:val="000000" w:themeColor="text1"/>
        </w:rPr>
        <w:t xml:space="preserve"> attached to the folk music itself.</w:t>
      </w:r>
      <w:r w:rsidRPr="00D5478D">
        <w:rPr>
          <w:rStyle w:val="FootnoteReference"/>
          <w:color w:val="000000" w:themeColor="text1"/>
        </w:rPr>
        <w:footnoteReference w:id="40"/>
      </w:r>
      <w:r>
        <w:rPr>
          <w:color w:val="000000" w:themeColor="text1"/>
        </w:rPr>
        <w:t xml:space="preserve"> The interactive nature allowed</w:t>
      </w:r>
      <w:r w:rsidRPr="00D5478D">
        <w:rPr>
          <w:color w:val="000000" w:themeColor="text1"/>
        </w:rPr>
        <w:t xml:space="preserve"> members of the nation to both participate in the construction of the nation as well as to experience</w:t>
      </w:r>
      <w:r>
        <w:rPr>
          <w:color w:val="000000" w:themeColor="text1"/>
        </w:rPr>
        <w:t xml:space="preserve"> a similar emotional response to</w:t>
      </w:r>
      <w:r w:rsidRPr="00D5478D">
        <w:rPr>
          <w:color w:val="000000" w:themeColor="text1"/>
        </w:rPr>
        <w:t xml:space="preserve"> the </w:t>
      </w:r>
      <w:r>
        <w:rPr>
          <w:color w:val="000000" w:themeColor="text1"/>
        </w:rPr>
        <w:t>performance</w:t>
      </w:r>
      <w:r w:rsidRPr="00D5478D">
        <w:rPr>
          <w:color w:val="000000" w:themeColor="text1"/>
        </w:rPr>
        <w:t xml:space="preserve">. This </w:t>
      </w:r>
      <w:r>
        <w:rPr>
          <w:color w:val="000000" w:themeColor="text1"/>
        </w:rPr>
        <w:t xml:space="preserve">resonance </w:t>
      </w:r>
      <w:r w:rsidRPr="00D5478D">
        <w:rPr>
          <w:color w:val="000000" w:themeColor="text1"/>
        </w:rPr>
        <w:t>only reinforces the shared experience often drawn on in the construction of the nation and identity.</w:t>
      </w:r>
    </w:p>
    <w:p w14:paraId="38D2F120" w14:textId="22C53DF9" w:rsidR="00961436" w:rsidRPr="00D5478D" w:rsidRDefault="00961436" w:rsidP="00961436">
      <w:pPr>
        <w:spacing w:line="480" w:lineRule="auto"/>
        <w:rPr>
          <w:color w:val="000000" w:themeColor="text1"/>
        </w:rPr>
      </w:pPr>
      <w:r w:rsidRPr="00D5478D">
        <w:rPr>
          <w:color w:val="000000" w:themeColor="text1"/>
        </w:rPr>
        <w:tab/>
        <w:t xml:space="preserve">Folk dance is also performed, though in a different way than folk music. As Adrienne L. </w:t>
      </w:r>
      <w:proofErr w:type="spellStart"/>
      <w:r w:rsidRPr="00D5478D">
        <w:rPr>
          <w:color w:val="000000" w:themeColor="text1"/>
        </w:rPr>
        <w:t>Kaeppler</w:t>
      </w:r>
      <w:proofErr w:type="spellEnd"/>
      <w:r w:rsidRPr="00D5478D">
        <w:rPr>
          <w:color w:val="000000" w:themeColor="text1"/>
        </w:rPr>
        <w:t xml:space="preserve"> asserts, dance “has structured content that conveys meaning, is a visual manifestation of social relations, and may be the subject of an elaborate aesthetic system.”</w:t>
      </w:r>
      <w:r w:rsidRPr="00D5478D">
        <w:rPr>
          <w:rStyle w:val="FootnoteReference"/>
          <w:color w:val="000000" w:themeColor="text1"/>
        </w:rPr>
        <w:footnoteReference w:id="41"/>
      </w:r>
      <w:r w:rsidRPr="00D5478D">
        <w:rPr>
          <w:color w:val="000000" w:themeColor="text1"/>
        </w:rPr>
        <w:t xml:space="preserve"> This definition lays out some of what can be learned from a folk dance, but </w:t>
      </w:r>
      <w:proofErr w:type="gramStart"/>
      <w:r w:rsidRPr="00D5478D">
        <w:rPr>
          <w:color w:val="000000" w:themeColor="text1"/>
        </w:rPr>
        <w:t>similar to</w:t>
      </w:r>
      <w:proofErr w:type="gramEnd"/>
      <w:r w:rsidRPr="00D5478D">
        <w:rPr>
          <w:color w:val="000000" w:themeColor="text1"/>
        </w:rPr>
        <w:t xml:space="preserve"> folk music, it is important </w:t>
      </w:r>
      <w:r w:rsidRPr="00D5478D">
        <w:rPr>
          <w:color w:val="000000" w:themeColor="text1"/>
        </w:rPr>
        <w:lastRenderedPageBreak/>
        <w:t xml:space="preserve">to know how the people who studied and collected many of these dances defined the subject. In this area, Anne Schley Duggan, Jeanette </w:t>
      </w:r>
      <w:proofErr w:type="spellStart"/>
      <w:r w:rsidRPr="00D5478D">
        <w:rPr>
          <w:color w:val="000000" w:themeColor="text1"/>
        </w:rPr>
        <w:t>Schlottmann</w:t>
      </w:r>
      <w:proofErr w:type="spellEnd"/>
      <w:r w:rsidRPr="00D5478D">
        <w:rPr>
          <w:color w:val="000000" w:themeColor="text1"/>
        </w:rPr>
        <w:t>, and Abbie Rutledge write of folk dance as “the traditional dances of a given country which have evolved naturally and spontaneously in conjunction with the everyday activities and experiences of the peoples who developed them.”</w:t>
      </w:r>
      <w:r w:rsidRPr="00D5478D">
        <w:rPr>
          <w:rStyle w:val="FootnoteReference"/>
          <w:color w:val="000000" w:themeColor="text1"/>
        </w:rPr>
        <w:footnoteReference w:id="42"/>
      </w:r>
      <w:r w:rsidRPr="00D5478D">
        <w:rPr>
          <w:color w:val="000000" w:themeColor="text1"/>
        </w:rPr>
        <w:t xml:space="preserve"> This definition </w:t>
      </w:r>
      <w:r>
        <w:rPr>
          <w:color w:val="000000" w:themeColor="text1"/>
        </w:rPr>
        <w:t>shows that</w:t>
      </w:r>
      <w:r w:rsidRPr="00D5478D">
        <w:rPr>
          <w:color w:val="000000" w:themeColor="text1"/>
        </w:rPr>
        <w:t xml:space="preserve"> folk dance was considered a natural part of a nation, </w:t>
      </w:r>
      <w:proofErr w:type="gramStart"/>
      <w:r w:rsidRPr="00D5478D">
        <w:rPr>
          <w:color w:val="000000" w:themeColor="text1"/>
        </w:rPr>
        <w:t>similar to</w:t>
      </w:r>
      <w:proofErr w:type="gramEnd"/>
      <w:r w:rsidRPr="00D5478D">
        <w:rPr>
          <w:color w:val="000000" w:themeColor="text1"/>
        </w:rPr>
        <w:t xml:space="preserve"> how the nation, w</w:t>
      </w:r>
      <w:r>
        <w:rPr>
          <w:color w:val="000000" w:themeColor="text1"/>
        </w:rPr>
        <w:t>hile in actuality constructed, wa</w:t>
      </w:r>
      <w:r w:rsidRPr="00D5478D">
        <w:rPr>
          <w:color w:val="000000" w:themeColor="text1"/>
        </w:rPr>
        <w:t>s considered natural. Duggan</w:t>
      </w:r>
      <w:r>
        <w:rPr>
          <w:color w:val="000000" w:themeColor="text1"/>
        </w:rPr>
        <w:t xml:space="preserve">, </w:t>
      </w:r>
      <w:proofErr w:type="spellStart"/>
      <w:r>
        <w:rPr>
          <w:color w:val="000000" w:themeColor="text1"/>
        </w:rPr>
        <w:t>Schlottmann</w:t>
      </w:r>
      <w:proofErr w:type="spellEnd"/>
      <w:r>
        <w:rPr>
          <w:color w:val="000000" w:themeColor="text1"/>
        </w:rPr>
        <w:t xml:space="preserve">, and Rutledge </w:t>
      </w:r>
      <w:proofErr w:type="gramStart"/>
      <w:r>
        <w:rPr>
          <w:color w:val="000000" w:themeColor="text1"/>
        </w:rPr>
        <w:t>continue</w:t>
      </w:r>
      <w:r w:rsidRPr="00D5478D">
        <w:rPr>
          <w:color w:val="000000" w:themeColor="text1"/>
        </w:rPr>
        <w:t xml:space="preserve"> on</w:t>
      </w:r>
      <w:proofErr w:type="gramEnd"/>
      <w:r w:rsidRPr="00D5478D">
        <w:rPr>
          <w:color w:val="000000" w:themeColor="text1"/>
        </w:rPr>
        <w:t xml:space="preserve"> to make explicit the link between folk dance and identity: “[Folk dances] afford, therefore, a vivid and graphic link with the past in which contemporary man had his own beginnings.”</w:t>
      </w:r>
      <w:r w:rsidRPr="00D5478D">
        <w:rPr>
          <w:rStyle w:val="FootnoteReference"/>
          <w:color w:val="000000" w:themeColor="text1"/>
        </w:rPr>
        <w:footnoteReference w:id="43"/>
      </w:r>
      <w:r w:rsidRPr="00D5478D">
        <w:rPr>
          <w:color w:val="000000" w:themeColor="text1"/>
        </w:rPr>
        <w:t xml:space="preserve"> In this definition, </w:t>
      </w:r>
      <w:r>
        <w:rPr>
          <w:color w:val="000000" w:themeColor="text1"/>
        </w:rPr>
        <w:t>the authors have begun the process of</w:t>
      </w:r>
      <w:r w:rsidRPr="00D5478D">
        <w:rPr>
          <w:color w:val="000000" w:themeColor="text1"/>
        </w:rPr>
        <w:t xml:space="preserve"> </w:t>
      </w:r>
      <w:proofErr w:type="spellStart"/>
      <w:r w:rsidRPr="00D5478D">
        <w:rPr>
          <w:color w:val="000000" w:themeColor="text1"/>
        </w:rPr>
        <w:t>reappropriation</w:t>
      </w:r>
      <w:proofErr w:type="spellEnd"/>
      <w:r w:rsidRPr="00D5478D">
        <w:rPr>
          <w:color w:val="000000" w:themeColor="text1"/>
        </w:rPr>
        <w:t xml:space="preserve">, of reaching into the past in an attempt to uncover the true nature of a particular identity. Through </w:t>
      </w:r>
      <w:r w:rsidR="005D2ADF">
        <w:rPr>
          <w:color w:val="000000" w:themeColor="text1"/>
        </w:rPr>
        <w:t>this</w:t>
      </w:r>
      <w:r>
        <w:rPr>
          <w:color w:val="000000" w:themeColor="text1"/>
        </w:rPr>
        <w:t xml:space="preserve"> </w:t>
      </w:r>
      <w:proofErr w:type="spellStart"/>
      <w:r>
        <w:rPr>
          <w:color w:val="000000" w:themeColor="text1"/>
        </w:rPr>
        <w:t>reapproriation</w:t>
      </w:r>
      <w:proofErr w:type="spellEnd"/>
      <w:r>
        <w:rPr>
          <w:color w:val="000000" w:themeColor="text1"/>
        </w:rPr>
        <w:t>, folk dances we</w:t>
      </w:r>
      <w:r w:rsidRPr="00D5478D">
        <w:rPr>
          <w:color w:val="000000" w:themeColor="text1"/>
        </w:rPr>
        <w:t>re often sites of the search for “pure” or “authentic” folk culture.</w:t>
      </w:r>
      <w:r w:rsidR="00BC3EC4">
        <w:rPr>
          <w:rStyle w:val="FootnoteReference"/>
          <w:color w:val="000000" w:themeColor="text1"/>
        </w:rPr>
        <w:footnoteReference w:id="44"/>
      </w:r>
    </w:p>
    <w:p w14:paraId="0F7921C2" w14:textId="77777777" w:rsidR="00961436" w:rsidRPr="00D5478D" w:rsidRDefault="00961436" w:rsidP="00961436">
      <w:pPr>
        <w:spacing w:line="480" w:lineRule="auto"/>
        <w:rPr>
          <w:color w:val="000000" w:themeColor="text1"/>
        </w:rPr>
      </w:pPr>
      <w:r w:rsidRPr="00D5478D">
        <w:rPr>
          <w:color w:val="000000" w:themeColor="text1"/>
        </w:rPr>
        <w:tab/>
      </w:r>
      <w:r>
        <w:rPr>
          <w:color w:val="000000" w:themeColor="text1"/>
        </w:rPr>
        <w:t>This study does</w:t>
      </w:r>
      <w:r w:rsidRPr="00D5478D">
        <w:rPr>
          <w:color w:val="000000" w:themeColor="text1"/>
        </w:rPr>
        <w:t xml:space="preserve"> not</w:t>
      </w:r>
      <w:r>
        <w:rPr>
          <w:color w:val="000000" w:themeColor="text1"/>
        </w:rPr>
        <w:t xml:space="preserve"> look just </w:t>
      </w:r>
      <w:r w:rsidRPr="00D5478D">
        <w:rPr>
          <w:color w:val="000000" w:themeColor="text1"/>
        </w:rPr>
        <w:t xml:space="preserve">at the folk music and dance of each country. Instead, it will combine an analysis of these pieces with an analysis of how they are deployed </w:t>
      </w:r>
      <w:r>
        <w:rPr>
          <w:color w:val="000000" w:themeColor="text1"/>
        </w:rPr>
        <w:t>within each community. This</w:t>
      </w:r>
      <w:r w:rsidRPr="00D5478D">
        <w:rPr>
          <w:color w:val="000000" w:themeColor="text1"/>
        </w:rPr>
        <w:t xml:space="preserve"> require</w:t>
      </w:r>
      <w:r>
        <w:rPr>
          <w:color w:val="000000" w:themeColor="text1"/>
        </w:rPr>
        <w:t>s</w:t>
      </w:r>
      <w:r w:rsidRPr="00D5478D">
        <w:rPr>
          <w:color w:val="000000" w:themeColor="text1"/>
        </w:rPr>
        <w:t xml:space="preserve"> an engagement with concepts of “true” or “pure” folk culture, of what deserves to be a foundation for national identity. </w:t>
      </w:r>
      <w:proofErr w:type="gramStart"/>
      <w:r w:rsidRPr="00D5478D">
        <w:rPr>
          <w:color w:val="000000" w:themeColor="text1"/>
        </w:rPr>
        <w:t>In order to</w:t>
      </w:r>
      <w:proofErr w:type="gramEnd"/>
      <w:r w:rsidRPr="00D5478D">
        <w:rPr>
          <w:color w:val="000000" w:themeColor="text1"/>
        </w:rPr>
        <w:t xml:space="preserve"> better navigate these waters, the above definitions will provide grounding, both for broader definitions of folk music and dance and for definitions commonly utilized by those collecting examples then deploying them in construction of identity.</w:t>
      </w:r>
    </w:p>
    <w:p w14:paraId="55B54110" w14:textId="77777777" w:rsidR="00532505" w:rsidRDefault="00532505" w:rsidP="00961436">
      <w:pPr>
        <w:spacing w:line="480" w:lineRule="auto"/>
        <w:rPr>
          <w:b/>
          <w:color w:val="000000" w:themeColor="text1"/>
        </w:rPr>
      </w:pPr>
    </w:p>
    <w:p w14:paraId="258DEE7D" w14:textId="77777777" w:rsidR="00532505" w:rsidRDefault="00532505" w:rsidP="00961436">
      <w:pPr>
        <w:spacing w:line="480" w:lineRule="auto"/>
        <w:rPr>
          <w:b/>
          <w:color w:val="000000" w:themeColor="text1"/>
        </w:rPr>
      </w:pPr>
    </w:p>
    <w:p w14:paraId="3510CDBE" w14:textId="77777777" w:rsidR="00961436" w:rsidRDefault="00961436" w:rsidP="00961436">
      <w:pPr>
        <w:spacing w:line="480" w:lineRule="auto"/>
        <w:rPr>
          <w:b/>
          <w:color w:val="000000" w:themeColor="text1"/>
        </w:rPr>
      </w:pPr>
      <w:r w:rsidRPr="00D5478D">
        <w:rPr>
          <w:b/>
          <w:color w:val="000000" w:themeColor="text1"/>
        </w:rPr>
        <w:t>Scotland</w:t>
      </w:r>
    </w:p>
    <w:p w14:paraId="60B1C9B0" w14:textId="77777777" w:rsidR="00961436" w:rsidRDefault="00961436" w:rsidP="00961436">
      <w:pPr>
        <w:spacing w:line="480" w:lineRule="auto"/>
        <w:ind w:firstLine="720"/>
        <w:rPr>
          <w:color w:val="000000" w:themeColor="text1"/>
        </w:rPr>
      </w:pPr>
      <w:r>
        <w:rPr>
          <w:color w:val="000000" w:themeColor="text1"/>
        </w:rPr>
        <w:t xml:space="preserve">Talk of ‘the Auld Enemy’ can only refer to one entity that has fundamentally shaped Scottish history - England. This moniker comes from centuries of conflict between the two, especially before 1606. This section will focus on the history of Scotland both in the interactions between the Highlands and Lowlands as well as the interactions between Scotland and England. </w:t>
      </w:r>
    </w:p>
    <w:p w14:paraId="1F9352B6" w14:textId="4E2ADB0A" w:rsidR="00961436" w:rsidRDefault="00961436" w:rsidP="00961436">
      <w:pPr>
        <w:spacing w:line="480" w:lineRule="auto"/>
        <w:ind w:firstLine="720"/>
        <w:rPr>
          <w:color w:val="000000" w:themeColor="text1"/>
        </w:rPr>
      </w:pPr>
      <w:r>
        <w:rPr>
          <w:color w:val="000000" w:themeColor="text1"/>
        </w:rPr>
        <w:t>One of the key moments of Scottish history that became p</w:t>
      </w:r>
      <w:r w:rsidR="004F582A">
        <w:rPr>
          <w:color w:val="000000" w:themeColor="text1"/>
        </w:rPr>
        <w:t>art of a nationalist narrative wa</w:t>
      </w:r>
      <w:r>
        <w:rPr>
          <w:color w:val="000000" w:themeColor="text1"/>
        </w:rPr>
        <w:t xml:space="preserve">s the Wars of Independence. This was the period in Scottish history associated with the lives of William Wallace and Robert the Bruce, as well as the Declaration of </w:t>
      </w:r>
      <w:proofErr w:type="spellStart"/>
      <w:r>
        <w:rPr>
          <w:color w:val="000000" w:themeColor="text1"/>
        </w:rPr>
        <w:t>Arbroath</w:t>
      </w:r>
      <w:proofErr w:type="spellEnd"/>
      <w:r>
        <w:rPr>
          <w:color w:val="000000" w:themeColor="text1"/>
        </w:rPr>
        <w:t>, discussed in the introduction. The era of the Wars of Independence began around the turn of the fourteenth century, a time when English kings consistently claimed rights to the Scottish throne or over Scotland itself. During this period, multiple kings of Scotland were forced to swear an oath of allegiance and subservience to English kings.</w:t>
      </w:r>
      <w:r>
        <w:rPr>
          <w:rStyle w:val="FootnoteReference"/>
          <w:color w:val="000000" w:themeColor="text1"/>
        </w:rPr>
        <w:footnoteReference w:id="45"/>
      </w:r>
      <w:r>
        <w:rPr>
          <w:color w:val="000000" w:themeColor="text1"/>
        </w:rPr>
        <w:t xml:space="preserve"> It was during a period of English rule of Scotland that William Wallace rose to fame. He led forces against the English occupiers and became famous for his fantastic victories over some English forces.</w:t>
      </w:r>
      <w:r>
        <w:rPr>
          <w:rStyle w:val="FootnoteReference"/>
          <w:color w:val="000000" w:themeColor="text1"/>
        </w:rPr>
        <w:footnoteReference w:id="46"/>
      </w:r>
      <w:r>
        <w:rPr>
          <w:color w:val="000000" w:themeColor="text1"/>
        </w:rPr>
        <w:t xml:space="preserve"> He was executed in 1305 by the English government for his rebellion.</w:t>
      </w:r>
      <w:r>
        <w:rPr>
          <w:rStyle w:val="FootnoteReference"/>
          <w:color w:val="000000" w:themeColor="text1"/>
        </w:rPr>
        <w:footnoteReference w:id="47"/>
      </w:r>
      <w:r>
        <w:rPr>
          <w:color w:val="000000" w:themeColor="text1"/>
        </w:rPr>
        <w:t xml:space="preserve"> His role in the rebellion and fight to restore sovereignty to Scotland, however, would assure his place in nationalist Scottish history.</w:t>
      </w:r>
    </w:p>
    <w:p w14:paraId="71D8C790" w14:textId="77777777" w:rsidR="00961436" w:rsidRDefault="00961436" w:rsidP="00961436">
      <w:pPr>
        <w:spacing w:line="480" w:lineRule="auto"/>
        <w:ind w:firstLine="720"/>
        <w:rPr>
          <w:color w:val="000000" w:themeColor="text1"/>
        </w:rPr>
      </w:pPr>
      <w:r>
        <w:rPr>
          <w:color w:val="000000" w:themeColor="text1"/>
        </w:rPr>
        <w:t>Robert the Bruce also secured his place in Scottish history during this period. He usurped the throne and became King of the Scots, fighting against Edward I of England during the Wars of Independence.</w:t>
      </w:r>
      <w:r>
        <w:rPr>
          <w:rStyle w:val="FootnoteReference"/>
          <w:color w:val="000000" w:themeColor="text1"/>
        </w:rPr>
        <w:footnoteReference w:id="48"/>
      </w:r>
      <w:r>
        <w:rPr>
          <w:color w:val="000000" w:themeColor="text1"/>
        </w:rPr>
        <w:t xml:space="preserve"> While his blatant disregard for English rule would make him a legend in </w:t>
      </w:r>
      <w:r>
        <w:rPr>
          <w:color w:val="000000" w:themeColor="text1"/>
        </w:rPr>
        <w:lastRenderedPageBreak/>
        <w:t>nationalist history, most of his fame grew out of his military prowess. Robert the Bruce, also known as King Robert or Robert Bruce, defeated English forces at the Battle of Bannockburn, a battle that holds mythic status in Scottish history.</w:t>
      </w:r>
      <w:r>
        <w:rPr>
          <w:rStyle w:val="FootnoteReference"/>
          <w:color w:val="000000" w:themeColor="text1"/>
        </w:rPr>
        <w:footnoteReference w:id="49"/>
      </w:r>
      <w:r>
        <w:rPr>
          <w:color w:val="000000" w:themeColor="text1"/>
        </w:rPr>
        <w:t xml:space="preserve"> Both the man as well as his military victories would figure heavily in later conceptions of Scottish identity.</w:t>
      </w:r>
    </w:p>
    <w:p w14:paraId="246CC90A" w14:textId="77777777" w:rsidR="00961436" w:rsidRDefault="00961436" w:rsidP="00961436">
      <w:pPr>
        <w:spacing w:line="480" w:lineRule="auto"/>
        <w:ind w:firstLine="720"/>
        <w:rPr>
          <w:color w:val="000000" w:themeColor="text1"/>
        </w:rPr>
      </w:pPr>
      <w:r>
        <w:rPr>
          <w:color w:val="000000" w:themeColor="text1"/>
        </w:rPr>
        <w:t xml:space="preserve">After the Glorious Revolution in 1688, in which William and Mary of Orange were installed on the joint English and Scottish throne, and following the Treaty of Union in 1707, Scotland was ruled by Protestant monarchs. However, in the heavily Catholic Scottish Highlands, there was much longing for the return to the throne of the Stewart line, which had ruled Scotland before the Union of the Crowns in 1606 and Great Britain before the Glorious Revolution. Supporters of the Stewart cause came to be known as </w:t>
      </w:r>
      <w:proofErr w:type="spellStart"/>
      <w:r>
        <w:rPr>
          <w:color w:val="000000" w:themeColor="text1"/>
        </w:rPr>
        <w:t>Jacobites</w:t>
      </w:r>
      <w:proofErr w:type="spellEnd"/>
      <w:r>
        <w:rPr>
          <w:color w:val="000000" w:themeColor="text1"/>
        </w:rPr>
        <w:t>.</w:t>
      </w:r>
    </w:p>
    <w:p w14:paraId="7C69437F" w14:textId="77777777" w:rsidR="00961436" w:rsidRPr="00755341" w:rsidRDefault="00961436" w:rsidP="00961436">
      <w:pPr>
        <w:spacing w:line="480" w:lineRule="auto"/>
        <w:ind w:firstLine="720"/>
        <w:rPr>
          <w:color w:val="000000" w:themeColor="text1"/>
        </w:rPr>
      </w:pPr>
      <w:r w:rsidRPr="00D5478D">
        <w:rPr>
          <w:color w:val="000000" w:themeColor="text1"/>
        </w:rPr>
        <w:t xml:space="preserve">The </w:t>
      </w:r>
      <w:proofErr w:type="spellStart"/>
      <w:r w:rsidRPr="00D5478D">
        <w:rPr>
          <w:color w:val="000000" w:themeColor="text1"/>
        </w:rPr>
        <w:t>Jacobi</w:t>
      </w:r>
      <w:r>
        <w:rPr>
          <w:color w:val="000000" w:themeColor="text1"/>
        </w:rPr>
        <w:t>tes</w:t>
      </w:r>
      <w:proofErr w:type="spellEnd"/>
      <w:r>
        <w:rPr>
          <w:color w:val="000000" w:themeColor="text1"/>
        </w:rPr>
        <w:t xml:space="preserve"> rebelled multiple times against the British government, in 1689,</w:t>
      </w:r>
      <w:r w:rsidRPr="00D5478D">
        <w:rPr>
          <w:color w:val="000000" w:themeColor="text1"/>
        </w:rPr>
        <w:t xml:space="preserve"> 1715 and 1719</w:t>
      </w:r>
      <w:r>
        <w:rPr>
          <w:color w:val="000000" w:themeColor="text1"/>
        </w:rPr>
        <w:t xml:space="preserve"> to name a few</w:t>
      </w:r>
      <w:r w:rsidRPr="00D5478D">
        <w:rPr>
          <w:color w:val="000000" w:themeColor="text1"/>
        </w:rPr>
        <w:t>.</w:t>
      </w:r>
      <w:r w:rsidRPr="00D5478D">
        <w:rPr>
          <w:rStyle w:val="FootnoteReference"/>
          <w:color w:val="000000" w:themeColor="text1"/>
        </w:rPr>
        <w:footnoteReference w:id="50"/>
      </w:r>
      <w:r>
        <w:rPr>
          <w:color w:val="000000" w:themeColor="text1"/>
        </w:rPr>
        <w:t xml:space="preserve"> However, it was</w:t>
      </w:r>
      <w:r w:rsidRPr="00D5478D">
        <w:rPr>
          <w:color w:val="000000" w:themeColor="text1"/>
        </w:rPr>
        <w:t xml:space="preserve"> the Jacobite rebellion of 1745 that created lasting consequences for the prevailing consciousness in the Highlands and </w:t>
      </w:r>
      <w:r>
        <w:rPr>
          <w:color w:val="000000" w:themeColor="text1"/>
        </w:rPr>
        <w:t xml:space="preserve">altered </w:t>
      </w:r>
      <w:r w:rsidRPr="00D5478D">
        <w:rPr>
          <w:color w:val="000000" w:themeColor="text1"/>
        </w:rPr>
        <w:t>the relationship between the Highlands and the Lowlands. The rebellion ende</w:t>
      </w:r>
      <w:r>
        <w:rPr>
          <w:color w:val="000000" w:themeColor="text1"/>
        </w:rPr>
        <w:t xml:space="preserve">d in disaster at Culloden on </w:t>
      </w:r>
      <w:r w:rsidRPr="00D5478D">
        <w:rPr>
          <w:color w:val="000000" w:themeColor="text1"/>
        </w:rPr>
        <w:t>April</w:t>
      </w:r>
      <w:r>
        <w:rPr>
          <w:color w:val="000000" w:themeColor="text1"/>
        </w:rPr>
        <w:t xml:space="preserve"> 16,</w:t>
      </w:r>
      <w:r w:rsidRPr="00D5478D">
        <w:rPr>
          <w:color w:val="000000" w:themeColor="text1"/>
        </w:rPr>
        <w:t xml:space="preserve"> 1746</w:t>
      </w:r>
      <w:r>
        <w:rPr>
          <w:color w:val="000000" w:themeColor="text1"/>
        </w:rPr>
        <w:t>,</w:t>
      </w:r>
      <w:r w:rsidRPr="00D5478D">
        <w:rPr>
          <w:color w:val="000000" w:themeColor="text1"/>
        </w:rPr>
        <w:t xml:space="preserve"> with the complete decimation of the Jacobite troops</w:t>
      </w:r>
      <w:r>
        <w:rPr>
          <w:color w:val="000000" w:themeColor="text1"/>
        </w:rPr>
        <w:t xml:space="preserve"> led by Bonnie Prince Charlie, a descendent of the Stewart dynasty</w:t>
      </w:r>
      <w:r w:rsidRPr="00D5478D">
        <w:rPr>
          <w:color w:val="000000" w:themeColor="text1"/>
        </w:rPr>
        <w:t>.</w:t>
      </w:r>
      <w:r w:rsidRPr="00D5478D">
        <w:rPr>
          <w:rStyle w:val="FootnoteReference"/>
          <w:color w:val="000000" w:themeColor="text1"/>
        </w:rPr>
        <w:footnoteReference w:id="51"/>
      </w:r>
      <w:r w:rsidRPr="00D5478D">
        <w:rPr>
          <w:color w:val="000000" w:themeColor="text1"/>
        </w:rPr>
        <w:t xml:space="preserve"> However, the devastation that came </w:t>
      </w:r>
      <w:proofErr w:type="gramStart"/>
      <w:r w:rsidRPr="00D5478D">
        <w:rPr>
          <w:color w:val="000000" w:themeColor="text1"/>
        </w:rPr>
        <w:t>as a result of</w:t>
      </w:r>
      <w:proofErr w:type="gramEnd"/>
      <w:r w:rsidRPr="00D5478D">
        <w:rPr>
          <w:color w:val="000000" w:themeColor="text1"/>
        </w:rPr>
        <w:t xml:space="preserve"> this rebellion did not end with the battle. Instead, the victorious forces, both English and Scottish, enacted a revenge on the Highlands that is still felt today. The campaign was designed, according to the leader, the Duke of Cumberland, to “burn and destroy”.</w:t>
      </w:r>
      <w:r w:rsidRPr="00D5478D">
        <w:rPr>
          <w:rStyle w:val="FootnoteReference"/>
          <w:color w:val="000000" w:themeColor="text1"/>
        </w:rPr>
        <w:footnoteReference w:id="52"/>
      </w:r>
      <w:r w:rsidRPr="00D5478D">
        <w:rPr>
          <w:color w:val="000000" w:themeColor="text1"/>
        </w:rPr>
        <w:t xml:space="preserve"> This included the burning of </w:t>
      </w:r>
      <w:r>
        <w:rPr>
          <w:color w:val="000000" w:themeColor="text1"/>
        </w:rPr>
        <w:lastRenderedPageBreak/>
        <w:t xml:space="preserve">entire villages; killing of men, </w:t>
      </w:r>
      <w:r w:rsidRPr="00D5478D">
        <w:rPr>
          <w:color w:val="000000" w:themeColor="text1"/>
        </w:rPr>
        <w:t>women,</w:t>
      </w:r>
      <w:r>
        <w:rPr>
          <w:color w:val="000000" w:themeColor="text1"/>
        </w:rPr>
        <w:t xml:space="preserve"> and children;</w:t>
      </w:r>
      <w:r w:rsidRPr="00D5478D">
        <w:rPr>
          <w:color w:val="000000" w:themeColor="text1"/>
        </w:rPr>
        <w:t xml:space="preserve"> and destruction of livelihood</w:t>
      </w:r>
      <w:r>
        <w:rPr>
          <w:color w:val="000000" w:themeColor="text1"/>
        </w:rPr>
        <w:t>s</w:t>
      </w:r>
      <w:r w:rsidRPr="00D5478D">
        <w:rPr>
          <w:color w:val="000000" w:themeColor="text1"/>
        </w:rPr>
        <w:t>.</w:t>
      </w:r>
      <w:r w:rsidRPr="00D5478D">
        <w:rPr>
          <w:rStyle w:val="FootnoteReference"/>
          <w:color w:val="000000" w:themeColor="text1"/>
        </w:rPr>
        <w:footnoteReference w:id="53"/>
      </w:r>
      <w:r w:rsidRPr="00D5478D">
        <w:rPr>
          <w:color w:val="000000" w:themeColor="text1"/>
        </w:rPr>
        <w:t xml:space="preserve"> As a final blow, the kilt, a symbol of Highland culture and status</w:t>
      </w:r>
      <w:r>
        <w:rPr>
          <w:color w:val="000000" w:themeColor="text1"/>
        </w:rPr>
        <w:t>,</w:t>
      </w:r>
      <w:r w:rsidRPr="00D5478D">
        <w:rPr>
          <w:color w:val="000000" w:themeColor="text1"/>
        </w:rPr>
        <w:t xml:space="preserve"> was outlawed.</w:t>
      </w:r>
      <w:r w:rsidRPr="00D5478D">
        <w:rPr>
          <w:rStyle w:val="FootnoteReference"/>
          <w:color w:val="000000" w:themeColor="text1"/>
        </w:rPr>
        <w:footnoteReference w:id="54"/>
      </w:r>
      <w:r w:rsidRPr="00D5478D">
        <w:rPr>
          <w:color w:val="000000" w:themeColor="text1"/>
        </w:rPr>
        <w:t xml:space="preserve"> This campaign, in short, was designed to destroy the social structure and culture of the Highland people.</w:t>
      </w:r>
      <w:r>
        <w:rPr>
          <w:color w:val="000000" w:themeColor="text1"/>
        </w:rPr>
        <w:t xml:space="preserve"> With the end of the Jacobite cause, space opened for the architects of Scottish identity in the post-1746 period to both claim the spirit of the Jacobite cause for the whole of Scotland, as well as work to unify the separate Highland and Lowland identities present in Scotland at that time.</w:t>
      </w:r>
    </w:p>
    <w:p w14:paraId="6D4F482F" w14:textId="77777777" w:rsidR="00961436" w:rsidRPr="00D5478D" w:rsidRDefault="00961436" w:rsidP="00961436">
      <w:pPr>
        <w:spacing w:line="480" w:lineRule="auto"/>
        <w:rPr>
          <w:b/>
          <w:color w:val="000000" w:themeColor="text1"/>
        </w:rPr>
      </w:pPr>
      <w:r w:rsidRPr="00D5478D">
        <w:rPr>
          <w:b/>
          <w:color w:val="000000" w:themeColor="text1"/>
        </w:rPr>
        <w:t>Korea</w:t>
      </w:r>
    </w:p>
    <w:p w14:paraId="15912664" w14:textId="77777777" w:rsidR="00961436" w:rsidRDefault="00961436" w:rsidP="00961436">
      <w:pPr>
        <w:spacing w:line="480" w:lineRule="auto"/>
        <w:ind w:firstLine="720"/>
      </w:pPr>
      <w:r w:rsidRPr="00D5478D">
        <w:rPr>
          <w:color w:val="000000" w:themeColor="text1"/>
        </w:rPr>
        <w:t xml:space="preserve">The road of Korean national identity traces back, predictably, to the period of Japanese rule on the peninsula, 1910-1945. </w:t>
      </w:r>
      <w:r>
        <w:t xml:space="preserve">1910 was the year Japan officially annexed Korea, adding it to the growing Japanese empire in East Asia. Following this act, Japanese officials began to implement harshly repressive policies. Their crackdown included closing the </w:t>
      </w:r>
      <w:proofErr w:type="gramStart"/>
      <w:r>
        <w:t>vast majority</w:t>
      </w:r>
      <w:proofErr w:type="gramEnd"/>
      <w:r>
        <w:t xml:space="preserve"> of Korean language newspapers and media. This period is often referred to as the “dark age” in Korean colonial history because there was such little publishing compared to the decade preceding the Japanese annexation.</w:t>
      </w:r>
      <w:r>
        <w:rPr>
          <w:rStyle w:val="FootnoteReference"/>
        </w:rPr>
        <w:footnoteReference w:id="55"/>
      </w:r>
      <w:r>
        <w:t xml:space="preserve"> This policy, in conjunction with other repressive colonial measures, directly led to the March First Movement.</w:t>
      </w:r>
    </w:p>
    <w:p w14:paraId="7C7A92C8" w14:textId="77777777" w:rsidR="00961436" w:rsidRPr="00F432BF" w:rsidRDefault="00961436" w:rsidP="00961436">
      <w:pPr>
        <w:spacing w:line="480" w:lineRule="auto"/>
        <w:ind w:firstLine="720"/>
      </w:pPr>
      <w:r>
        <w:t>On March 1, 1919, the March First Movement, as it would come to be called, erupted in Seoul and other parts of Korea. According to E. Taylor Atkins, “over a million Koreans closed their shops, abandoned their labors, and gathered in churches, parks, and public areas or took to streets, chanting and waving flags” to call for Korean independence.</w:t>
      </w:r>
      <w:r>
        <w:rPr>
          <w:rStyle w:val="FootnoteReference"/>
        </w:rPr>
        <w:footnoteReference w:id="56"/>
      </w:r>
      <w:r>
        <w:t xml:space="preserve"> Much of the Movement </w:t>
      </w:r>
      <w:r>
        <w:lastRenderedPageBreak/>
        <w:t xml:space="preserve">centered around a Declaration of Independence, authored by </w:t>
      </w:r>
      <w:proofErr w:type="spellStart"/>
      <w:r>
        <w:t>Ch’oe</w:t>
      </w:r>
      <w:proofErr w:type="spellEnd"/>
      <w:r>
        <w:t xml:space="preserve"> Nam-</w:t>
      </w:r>
      <w:proofErr w:type="spellStart"/>
      <w:r>
        <w:t>sōn</w:t>
      </w:r>
      <w:proofErr w:type="spellEnd"/>
      <w:r>
        <w:t xml:space="preserve">, a prominent newspaper owner and intellectual. The Declaration outlined the objectives of the movement, and detailed why </w:t>
      </w:r>
      <w:proofErr w:type="spellStart"/>
      <w:r>
        <w:t>Ch’oe</w:t>
      </w:r>
      <w:proofErr w:type="spellEnd"/>
      <w:r>
        <w:t xml:space="preserve"> and others believed movement would succeed: “The spirit of thousands of generations of our ancestors protect us, and the rising tide of world consciousness assists us. Once started we shall surely succeed. We march forward with this hope.”</w:t>
      </w:r>
      <w:r>
        <w:rPr>
          <w:rStyle w:val="FootnoteReference"/>
        </w:rPr>
        <w:footnoteReference w:id="57"/>
      </w:r>
      <w:r>
        <w:t xml:space="preserve"> This movement was significant on a few fronts. First, later generations would recall this Movement as the beginning moment of a broad-based Korean national identity, contributing to the theme of resistance Korean identity encompasses today.</w:t>
      </w:r>
      <w:r w:rsidRPr="006457F5">
        <w:rPr>
          <w:rStyle w:val="FootnoteReference"/>
        </w:rPr>
        <w:t xml:space="preserve"> </w:t>
      </w:r>
      <w:r>
        <w:rPr>
          <w:rStyle w:val="FootnoteReference"/>
        </w:rPr>
        <w:footnoteReference w:id="58"/>
      </w:r>
      <w:r>
        <w:t xml:space="preserve"> More immediately, it prompted a change in colonial policy that created the conditions under which conversations on Korean identity and folk culture could take place.</w:t>
      </w:r>
    </w:p>
    <w:p w14:paraId="055DF54D" w14:textId="77777777" w:rsidR="00961436" w:rsidRDefault="00961436" w:rsidP="00961436">
      <w:pPr>
        <w:spacing w:line="480" w:lineRule="auto"/>
      </w:pPr>
      <w:r>
        <w:tab/>
        <w:t>In response to the March First Movement, Japanese authorities in the Government General of Korea (GGK) moved toward a ‘cultural rule’ model. This model allowed more press freedom and created an environment in which the cultural nationalism outlined by Michael Robinson flourished.</w:t>
      </w:r>
      <w:r>
        <w:rPr>
          <w:rStyle w:val="FootnoteReference"/>
        </w:rPr>
        <w:footnoteReference w:id="59"/>
      </w:r>
      <w:r>
        <w:t xml:space="preserve"> This term refers to how Korean nationalists utilized cultural programs to advance their nationalist agenda.</w:t>
      </w:r>
      <w:r>
        <w:rPr>
          <w:rStyle w:val="FootnoteReference"/>
        </w:rPr>
        <w:footnoteReference w:id="60"/>
      </w:r>
      <w:r>
        <w:t xml:space="preserve"> In the context of this nationalist discourse, Japanese and Korean research on the folk culture of Korea began.</w:t>
      </w:r>
    </w:p>
    <w:p w14:paraId="00983B28" w14:textId="77777777" w:rsidR="00961436" w:rsidRPr="00D3346D" w:rsidRDefault="00961436" w:rsidP="00961436">
      <w:pPr>
        <w:spacing w:line="480" w:lineRule="auto"/>
        <w:ind w:firstLine="720"/>
      </w:pPr>
      <w:r>
        <w:t xml:space="preserve">However, the intellectual environment in Korea before Japanese annexation influenced the intellectuals engaged in construction of Korean identity in the 1920s and 1930s. In the period </w:t>
      </w:r>
      <w:r>
        <w:lastRenderedPageBreak/>
        <w:t>immediately preceding the annexation of Korea, 1895-1910, Korean intellectuals engaged in what is known as the Korean Enlightenment. During these years, intellectuals pushed for the reform of the government and society and sought reforms especially within the Confucian tradition and Korea’s traditional relationship with China as the bulwark of its foreign relations.</w:t>
      </w:r>
      <w:r>
        <w:rPr>
          <w:rStyle w:val="FootnoteReference"/>
        </w:rPr>
        <w:footnoteReference w:id="61"/>
      </w:r>
      <w:r>
        <w:t xml:space="preserve"> Part of this Enlightenment involved an “attack on traditional Korean folk culture” which was portrayed “as antiscientific, superstitious, and fatalistic”; intellectuals of the time saw it in exact opposition to the reforms they had in mind.</w:t>
      </w:r>
      <w:r>
        <w:rPr>
          <w:rStyle w:val="FootnoteReference"/>
        </w:rPr>
        <w:footnoteReference w:id="62"/>
      </w:r>
      <w:r>
        <w:t xml:space="preserve"> After this disavowal of Korean folk culture, a new generation of Korean intellectuals in the 1920s and 1930s began anew research on Korean folk culture to fight Japanese imperialist claims about Korean backwardness.</w:t>
      </w:r>
      <w:r>
        <w:rPr>
          <w:rStyle w:val="FootnoteReference"/>
        </w:rPr>
        <w:footnoteReference w:id="63"/>
      </w:r>
      <w:r>
        <w:t xml:space="preserve"> Chapter two will elaborate on the work of ethnographers in the 1920s and 1930s in Korea and their role in constructing a national identity. </w:t>
      </w:r>
    </w:p>
    <w:p w14:paraId="6B221923" w14:textId="77777777" w:rsidR="00961436" w:rsidRPr="00D5478D" w:rsidRDefault="00961436" w:rsidP="00961436">
      <w:pPr>
        <w:shd w:val="clear" w:color="auto" w:fill="FFFFFF"/>
        <w:spacing w:line="480" w:lineRule="auto"/>
        <w:rPr>
          <w:b/>
          <w:color w:val="000000" w:themeColor="text1"/>
        </w:rPr>
      </w:pPr>
      <w:r w:rsidRPr="00D5478D">
        <w:rPr>
          <w:b/>
          <w:color w:val="000000" w:themeColor="text1"/>
        </w:rPr>
        <w:t>Belgium</w:t>
      </w:r>
    </w:p>
    <w:p w14:paraId="162B48FB" w14:textId="77777777" w:rsidR="00961436" w:rsidRDefault="00961436" w:rsidP="00961436">
      <w:pPr>
        <w:shd w:val="clear" w:color="auto" w:fill="FFFFFF"/>
        <w:spacing w:line="480" w:lineRule="auto"/>
        <w:ind w:firstLine="720"/>
        <w:rPr>
          <w:color w:val="000000" w:themeColor="text1"/>
        </w:rPr>
      </w:pPr>
      <w:r>
        <w:rPr>
          <w:color w:val="000000" w:themeColor="text1"/>
        </w:rPr>
        <w:t xml:space="preserve">In Belgium, even though Flanders and Wallonia are part of the same country, their historical trajectories charted different paths. While intertwined, the history of Flanders and Wallonia must be outlined separately to understand their divergent paths. </w:t>
      </w:r>
    </w:p>
    <w:p w14:paraId="159B8E8B" w14:textId="77777777" w:rsidR="00961436" w:rsidRPr="00D5478D" w:rsidRDefault="00961436" w:rsidP="00961436">
      <w:pPr>
        <w:shd w:val="clear" w:color="auto" w:fill="FFFFFF"/>
        <w:spacing w:line="480" w:lineRule="auto"/>
        <w:ind w:firstLine="720"/>
        <w:rPr>
          <w:color w:val="000000" w:themeColor="text1"/>
        </w:rPr>
      </w:pPr>
      <w:r w:rsidRPr="00D5478D">
        <w:rPr>
          <w:color w:val="000000" w:themeColor="text1"/>
        </w:rPr>
        <w:t xml:space="preserve">Flanders comprises the northern provinces of Belgium. </w:t>
      </w:r>
      <w:r>
        <w:rPr>
          <w:color w:val="000000" w:themeColor="text1"/>
        </w:rPr>
        <w:t>Agriculture composed the largest sector of the Flemish economy in the early nineteenth century</w:t>
      </w:r>
      <w:r w:rsidRPr="00D5478D">
        <w:rPr>
          <w:color w:val="000000" w:themeColor="text1"/>
        </w:rPr>
        <w:t>. The productivity of the land gave Flanders an econo</w:t>
      </w:r>
      <w:r>
        <w:rPr>
          <w:color w:val="000000" w:themeColor="text1"/>
        </w:rPr>
        <w:t>mic advantage over Wallonia, on</w:t>
      </w:r>
      <w:r w:rsidRPr="00D5478D">
        <w:rPr>
          <w:color w:val="000000" w:themeColor="text1"/>
        </w:rPr>
        <w:t xml:space="preserve"> top of a demographic advantage.</w:t>
      </w:r>
      <w:r w:rsidRPr="00D5478D">
        <w:rPr>
          <w:rStyle w:val="FootnoteReference"/>
          <w:color w:val="000000" w:themeColor="text1"/>
        </w:rPr>
        <w:footnoteReference w:id="64"/>
      </w:r>
      <w:r w:rsidRPr="00D5478D">
        <w:rPr>
          <w:color w:val="000000" w:themeColor="text1"/>
        </w:rPr>
        <w:t xml:space="preserve"> Today, </w:t>
      </w:r>
      <w:r w:rsidRPr="00D5478D">
        <w:rPr>
          <w:color w:val="000000" w:themeColor="text1"/>
        </w:rPr>
        <w:lastRenderedPageBreak/>
        <w:t xml:space="preserve">“Flanders contains about 58 </w:t>
      </w:r>
      <w:r>
        <w:rPr>
          <w:color w:val="000000" w:themeColor="text1"/>
        </w:rPr>
        <w:t>percent of Belgium’s population,</w:t>
      </w:r>
      <w:r w:rsidRPr="00D5478D">
        <w:rPr>
          <w:color w:val="000000" w:themeColor="text1"/>
        </w:rPr>
        <w:t>”</w:t>
      </w:r>
      <w:r w:rsidRPr="00D540E0">
        <w:rPr>
          <w:rStyle w:val="FootnoteReference"/>
          <w:color w:val="000000" w:themeColor="text1"/>
        </w:rPr>
        <w:t xml:space="preserve"> </w:t>
      </w:r>
      <w:r w:rsidRPr="00D5478D">
        <w:rPr>
          <w:rStyle w:val="FootnoteReference"/>
          <w:color w:val="000000" w:themeColor="text1"/>
        </w:rPr>
        <w:footnoteReference w:id="65"/>
      </w:r>
      <w:r>
        <w:rPr>
          <w:color w:val="000000" w:themeColor="text1"/>
        </w:rPr>
        <w:t xml:space="preserve"> a legacy of this historic demographic advantage.</w:t>
      </w:r>
      <w:r w:rsidRPr="00D5478D">
        <w:rPr>
          <w:color w:val="000000" w:themeColor="text1"/>
        </w:rPr>
        <w:t xml:space="preserve"> These characteristics impacted</w:t>
      </w:r>
      <w:r w:rsidRPr="00D540E0">
        <w:rPr>
          <w:color w:val="000000" w:themeColor="text1"/>
        </w:rPr>
        <w:t xml:space="preserve"> </w:t>
      </w:r>
      <w:r w:rsidRPr="00D5478D">
        <w:rPr>
          <w:color w:val="000000" w:themeColor="text1"/>
        </w:rPr>
        <w:t>both the construction of Flemish identity and the political movements associated with Flemish nationalism.</w:t>
      </w:r>
    </w:p>
    <w:p w14:paraId="0BB8174F" w14:textId="27CF7933" w:rsidR="00961436" w:rsidRPr="00D5478D" w:rsidRDefault="00961436" w:rsidP="00961436">
      <w:pPr>
        <w:shd w:val="clear" w:color="auto" w:fill="FFFFFF"/>
        <w:spacing w:line="480" w:lineRule="auto"/>
        <w:ind w:firstLine="720"/>
        <w:rPr>
          <w:color w:val="000000" w:themeColor="text1"/>
        </w:rPr>
      </w:pPr>
      <w:r w:rsidRPr="00D5478D">
        <w:rPr>
          <w:color w:val="000000" w:themeColor="text1"/>
        </w:rPr>
        <w:t xml:space="preserve">Flemish identity, before 1830, was grounded in a broader Netherlandish identity. This, in part, came from the political situation: what is now Belgium was part of the United Kingdom of the Netherlands. When </w:t>
      </w:r>
      <w:r>
        <w:rPr>
          <w:color w:val="000000" w:themeColor="text1"/>
        </w:rPr>
        <w:t>discussing</w:t>
      </w:r>
      <w:r w:rsidRPr="00D5478D">
        <w:rPr>
          <w:color w:val="000000" w:themeColor="text1"/>
        </w:rPr>
        <w:t xml:space="preserve"> the use of Dutch or Flemish in Flemish provinces, writers such as Leo de </w:t>
      </w:r>
      <w:proofErr w:type="spellStart"/>
      <w:r w:rsidRPr="00D5478D">
        <w:rPr>
          <w:color w:val="000000" w:themeColor="text1"/>
        </w:rPr>
        <w:t>Foere</w:t>
      </w:r>
      <w:proofErr w:type="spellEnd"/>
      <w:r w:rsidRPr="00D5478D">
        <w:rPr>
          <w:color w:val="000000" w:themeColor="text1"/>
        </w:rPr>
        <w:t>, writing in 1815, refer</w:t>
      </w:r>
      <w:r w:rsidR="00D56C83">
        <w:rPr>
          <w:color w:val="000000" w:themeColor="text1"/>
        </w:rPr>
        <w:t>r</w:t>
      </w:r>
      <w:r>
        <w:rPr>
          <w:color w:val="000000" w:themeColor="text1"/>
        </w:rPr>
        <w:t>ed</w:t>
      </w:r>
      <w:r w:rsidRPr="00D5478D">
        <w:rPr>
          <w:color w:val="000000" w:themeColor="text1"/>
        </w:rPr>
        <w:t xml:space="preserve"> to the inhabitants as Netherlanders and reference</w:t>
      </w:r>
      <w:r>
        <w:rPr>
          <w:color w:val="000000" w:themeColor="text1"/>
        </w:rPr>
        <w:t>d</w:t>
      </w:r>
      <w:r w:rsidRPr="00D5478D">
        <w:rPr>
          <w:color w:val="000000" w:themeColor="text1"/>
        </w:rPr>
        <w:t xml:space="preserve"> their political space within the Netherlands.</w:t>
      </w:r>
      <w:r w:rsidRPr="00D5478D">
        <w:rPr>
          <w:rStyle w:val="FootnoteReference"/>
          <w:color w:val="000000" w:themeColor="text1"/>
        </w:rPr>
        <w:footnoteReference w:id="66"/>
      </w:r>
      <w:r w:rsidRPr="00D5478D">
        <w:rPr>
          <w:color w:val="000000" w:themeColor="text1"/>
        </w:rPr>
        <w:t xml:space="preserve"> Because of this link to a broader Netherlandish identity, a large focus on Flemish identity did not become prominent until after Belgian independence in 1830.</w:t>
      </w:r>
    </w:p>
    <w:p w14:paraId="3062D6A4" w14:textId="77777777" w:rsidR="00961436" w:rsidRDefault="00961436" w:rsidP="00961436">
      <w:pPr>
        <w:shd w:val="clear" w:color="auto" w:fill="FFFFFF"/>
        <w:spacing w:line="480" w:lineRule="auto"/>
        <w:ind w:firstLine="720"/>
        <w:rPr>
          <w:color w:val="000000" w:themeColor="text1"/>
        </w:rPr>
      </w:pPr>
      <w:r w:rsidRPr="00D5478D">
        <w:rPr>
          <w:color w:val="000000" w:themeColor="text1"/>
        </w:rPr>
        <w:t>In 1830, Belgium declared independence from the Uni</w:t>
      </w:r>
      <w:r>
        <w:rPr>
          <w:color w:val="000000" w:themeColor="text1"/>
        </w:rPr>
        <w:t>ted Kingdom of the Netherlands, a</w:t>
      </w:r>
      <w:r w:rsidRPr="00D5478D">
        <w:rPr>
          <w:color w:val="000000" w:themeColor="text1"/>
        </w:rPr>
        <w:t xml:space="preserve">fter </w:t>
      </w:r>
      <w:r>
        <w:rPr>
          <w:color w:val="000000" w:themeColor="text1"/>
        </w:rPr>
        <w:t>which</w:t>
      </w:r>
      <w:r w:rsidRPr="00D5478D">
        <w:rPr>
          <w:color w:val="000000" w:themeColor="text1"/>
        </w:rPr>
        <w:t xml:space="preserve"> Flemish</w:t>
      </w:r>
      <w:r>
        <w:rPr>
          <w:color w:val="000000" w:themeColor="text1"/>
        </w:rPr>
        <w:t xml:space="preserve"> identity and nationalism began</w:t>
      </w:r>
      <w:r w:rsidRPr="00D5478D">
        <w:rPr>
          <w:color w:val="000000" w:themeColor="text1"/>
        </w:rPr>
        <w:t xml:space="preserve"> its rise to the national </w:t>
      </w:r>
      <w:r>
        <w:rPr>
          <w:color w:val="000000" w:themeColor="text1"/>
        </w:rPr>
        <w:t>and international stage. It did</w:t>
      </w:r>
      <w:r w:rsidRPr="00D5478D">
        <w:rPr>
          <w:color w:val="000000" w:themeColor="text1"/>
        </w:rPr>
        <w:t xml:space="preserve"> so in response to language policy. The Belgian Constitution </w:t>
      </w:r>
      <w:r>
        <w:rPr>
          <w:color w:val="000000" w:themeColor="text1"/>
        </w:rPr>
        <w:t>states that</w:t>
      </w:r>
      <w:r w:rsidRPr="00D5478D">
        <w:rPr>
          <w:color w:val="000000" w:themeColor="text1"/>
        </w:rPr>
        <w:t xml:space="preserve"> “every citizen has the right to avail himself of the language which best suits his interest and his habits.”</w:t>
      </w:r>
      <w:r w:rsidRPr="00D5478D">
        <w:rPr>
          <w:rStyle w:val="FootnoteReference"/>
          <w:color w:val="000000" w:themeColor="text1"/>
        </w:rPr>
        <w:footnoteReference w:id="67"/>
      </w:r>
      <w:r>
        <w:rPr>
          <w:color w:val="000000" w:themeColor="text1"/>
        </w:rPr>
        <w:t xml:space="preserve"> Theoretically, this guaranteed</w:t>
      </w:r>
      <w:r w:rsidRPr="00D5478D">
        <w:rPr>
          <w:color w:val="000000" w:themeColor="text1"/>
        </w:rPr>
        <w:t xml:space="preserve"> freedom of language to every Belgian citizen, eliminating the possibility of discrimination. However, the decision, in the same document, to use French as the language of government </w:t>
      </w:r>
      <w:r>
        <w:rPr>
          <w:color w:val="000000" w:themeColor="text1"/>
        </w:rPr>
        <w:t xml:space="preserve">complicated </w:t>
      </w:r>
      <w:r w:rsidRPr="00D5478D">
        <w:rPr>
          <w:color w:val="000000" w:themeColor="text1"/>
        </w:rPr>
        <w:t>this matter.</w:t>
      </w:r>
      <w:r w:rsidRPr="00D5478D">
        <w:rPr>
          <w:rStyle w:val="FootnoteReference"/>
          <w:color w:val="000000" w:themeColor="text1"/>
        </w:rPr>
        <w:footnoteReference w:id="68"/>
      </w:r>
      <w:r w:rsidRPr="00D5478D">
        <w:rPr>
          <w:color w:val="000000" w:themeColor="text1"/>
        </w:rPr>
        <w:t xml:space="preserve"> In this context, Belgium became more closely </w:t>
      </w:r>
      <w:r w:rsidRPr="00D5478D">
        <w:rPr>
          <w:color w:val="000000" w:themeColor="text1"/>
        </w:rPr>
        <w:lastRenderedPageBreak/>
        <w:t>associated with France</w:t>
      </w:r>
      <w:r>
        <w:rPr>
          <w:color w:val="000000" w:themeColor="text1"/>
        </w:rPr>
        <w:t>, and domestic p</w:t>
      </w:r>
      <w:r w:rsidRPr="00D5478D">
        <w:rPr>
          <w:color w:val="000000" w:themeColor="text1"/>
        </w:rPr>
        <w:t xml:space="preserve">olitics and </w:t>
      </w:r>
      <w:r>
        <w:rPr>
          <w:color w:val="000000" w:themeColor="text1"/>
        </w:rPr>
        <w:t xml:space="preserve">local </w:t>
      </w:r>
      <w:r w:rsidRPr="00D5478D">
        <w:rPr>
          <w:color w:val="000000" w:themeColor="text1"/>
        </w:rPr>
        <w:t>culture all over Belgium came to be based on the French model.</w:t>
      </w:r>
      <w:r w:rsidRPr="00D5478D">
        <w:rPr>
          <w:rStyle w:val="FootnoteReference"/>
          <w:color w:val="000000" w:themeColor="text1"/>
        </w:rPr>
        <w:footnoteReference w:id="69"/>
      </w:r>
      <w:r>
        <w:rPr>
          <w:color w:val="000000" w:themeColor="text1"/>
        </w:rPr>
        <w:t xml:space="preserve"> Due to this</w:t>
      </w:r>
      <w:r w:rsidRPr="00D5478D">
        <w:rPr>
          <w:color w:val="000000" w:themeColor="text1"/>
        </w:rPr>
        <w:t xml:space="preserve"> influence, the French language “quickly became the key to upward mobility, whereas Flemish was considered backward – the language of peasants.”</w:t>
      </w:r>
      <w:r w:rsidRPr="00D5478D">
        <w:rPr>
          <w:rStyle w:val="FootnoteReference"/>
          <w:color w:val="000000" w:themeColor="text1"/>
        </w:rPr>
        <w:footnoteReference w:id="70"/>
      </w:r>
      <w:r w:rsidRPr="00D5478D">
        <w:rPr>
          <w:color w:val="000000" w:themeColor="text1"/>
        </w:rPr>
        <w:t xml:space="preserve"> In this situation, Flemish people began to advocate for their rights along linguistic lines. </w:t>
      </w:r>
    </w:p>
    <w:p w14:paraId="5AD11A1B" w14:textId="77777777" w:rsidR="00961436" w:rsidRPr="00D5478D" w:rsidRDefault="00961436" w:rsidP="00961436">
      <w:pPr>
        <w:shd w:val="clear" w:color="auto" w:fill="FFFFFF"/>
        <w:spacing w:line="480" w:lineRule="auto"/>
        <w:ind w:firstLine="720"/>
        <w:rPr>
          <w:color w:val="000000" w:themeColor="text1"/>
        </w:rPr>
      </w:pPr>
      <w:r w:rsidRPr="00D5478D">
        <w:rPr>
          <w:color w:val="000000" w:themeColor="text1"/>
        </w:rPr>
        <w:t>Due to the use of French as the state language, Flemish identity focused on language and was constructed in opposition to a Walloon identity. In a speech given at the Flemish Festival in 18</w:t>
      </w:r>
      <w:r>
        <w:rPr>
          <w:color w:val="000000" w:themeColor="text1"/>
        </w:rPr>
        <w:t xml:space="preserve">41, Jan </w:t>
      </w:r>
      <w:proofErr w:type="spellStart"/>
      <w:r>
        <w:rPr>
          <w:color w:val="000000" w:themeColor="text1"/>
        </w:rPr>
        <w:t>Frans</w:t>
      </w:r>
      <w:proofErr w:type="spellEnd"/>
      <w:r>
        <w:rPr>
          <w:color w:val="000000" w:themeColor="text1"/>
        </w:rPr>
        <w:t xml:space="preserve"> Willems asserted</w:t>
      </w:r>
      <w:r w:rsidRPr="00D5478D">
        <w:rPr>
          <w:color w:val="000000" w:themeColor="text1"/>
        </w:rPr>
        <w:t xml:space="preserve"> th</w:t>
      </w:r>
      <w:r>
        <w:rPr>
          <w:color w:val="000000" w:themeColor="text1"/>
        </w:rPr>
        <w:t>e notion that Flemish identity wa</w:t>
      </w:r>
      <w:r w:rsidRPr="00D5478D">
        <w:rPr>
          <w:color w:val="000000" w:themeColor="text1"/>
        </w:rPr>
        <w:t>s explicitly tied to language. In his words, “In order to be Flemings and to remain Flemings we must cling to our Flemish language</w:t>
      </w:r>
      <w:proofErr w:type="gramStart"/>
      <w:r w:rsidRPr="00D5478D">
        <w:rPr>
          <w:color w:val="000000" w:themeColor="text1"/>
        </w:rPr>
        <w:t>. . . .</w:t>
      </w:r>
      <w:proofErr w:type="gramEnd"/>
      <w:r w:rsidRPr="00D5478D">
        <w:rPr>
          <w:color w:val="000000" w:themeColor="text1"/>
        </w:rPr>
        <w:t xml:space="preserve"> That language alone contains the impression of our character, our ethics, our thoughts.”</w:t>
      </w:r>
      <w:r w:rsidRPr="00D5478D">
        <w:rPr>
          <w:rStyle w:val="FootnoteReference"/>
          <w:color w:val="000000" w:themeColor="text1"/>
        </w:rPr>
        <w:footnoteReference w:id="71"/>
      </w:r>
      <w:r>
        <w:rPr>
          <w:color w:val="000000" w:themeColor="text1"/>
        </w:rPr>
        <w:t xml:space="preserve"> Language, in this conceptualization, was</w:t>
      </w:r>
      <w:r w:rsidRPr="00D5478D">
        <w:rPr>
          <w:color w:val="000000" w:themeColor="text1"/>
        </w:rPr>
        <w:t xml:space="preserve"> the cornerstone of Flemish identity. In early writings, however, this identity was conceived as compatible with a Belgian identity.</w:t>
      </w:r>
    </w:p>
    <w:p w14:paraId="22E3776B" w14:textId="77777777" w:rsidR="00961436" w:rsidRPr="00D5478D" w:rsidRDefault="00961436" w:rsidP="00961436">
      <w:pPr>
        <w:shd w:val="clear" w:color="auto" w:fill="FFFFFF"/>
        <w:spacing w:line="480" w:lineRule="auto"/>
        <w:ind w:firstLine="720"/>
        <w:rPr>
          <w:color w:val="000000" w:themeColor="text1"/>
        </w:rPr>
      </w:pPr>
      <w:r w:rsidRPr="00D5478D">
        <w:rPr>
          <w:color w:val="000000" w:themeColor="text1"/>
        </w:rPr>
        <w:t>Immediately after Belgian independence in 1830, most advocates of a Flemish identity conceived of it within the broader context of a Belgian identity. In 1840, Jan Baptist David wrote of utilizing Flemish to establish “a Belgian literature which shall express the Belgian national character” and doing so in the company and with the support of the Walloons.</w:t>
      </w:r>
      <w:r w:rsidRPr="00D5478D">
        <w:rPr>
          <w:rStyle w:val="FootnoteReference"/>
          <w:color w:val="000000" w:themeColor="text1"/>
        </w:rPr>
        <w:footnoteReference w:id="72"/>
      </w:r>
      <w:r w:rsidRPr="00D5478D">
        <w:rPr>
          <w:color w:val="000000" w:themeColor="text1"/>
        </w:rPr>
        <w:t xml:space="preserve"> This sentiment extended to the e</w:t>
      </w:r>
      <w:r>
        <w:rPr>
          <w:color w:val="000000" w:themeColor="text1"/>
        </w:rPr>
        <w:t>arliest</w:t>
      </w:r>
      <w:r w:rsidRPr="00D5478D">
        <w:rPr>
          <w:color w:val="000000" w:themeColor="text1"/>
        </w:rPr>
        <w:t xml:space="preserve"> documents of the Flemish Movement, an early and critical organization </w:t>
      </w:r>
      <w:r w:rsidRPr="00D5478D">
        <w:rPr>
          <w:color w:val="000000" w:themeColor="text1"/>
        </w:rPr>
        <w:lastRenderedPageBreak/>
        <w:t>advocating for a Flemish identity. In their founding document, written in 1847, they outline</w:t>
      </w:r>
      <w:r>
        <w:rPr>
          <w:color w:val="000000" w:themeColor="text1"/>
        </w:rPr>
        <w:t>d</w:t>
      </w:r>
      <w:r w:rsidRPr="00D5478D">
        <w:rPr>
          <w:color w:val="000000" w:themeColor="text1"/>
        </w:rPr>
        <w:t xml:space="preserve"> their goals fo</w:t>
      </w:r>
      <w:r>
        <w:rPr>
          <w:color w:val="000000" w:themeColor="text1"/>
        </w:rPr>
        <w:t>r linguistic rights, but qualified</w:t>
      </w:r>
      <w:r w:rsidRPr="00D5478D">
        <w:rPr>
          <w:color w:val="000000" w:themeColor="text1"/>
        </w:rPr>
        <w:t xml:space="preserve"> these by stating that their “dearest wish is that we may one day live in total harmony and close brotherhood with our Walloon compatriots; for not until that moment will Belgium rest on firm foundations.”</w:t>
      </w:r>
      <w:r w:rsidRPr="00D5478D">
        <w:rPr>
          <w:rStyle w:val="FootnoteReference"/>
          <w:color w:val="000000" w:themeColor="text1"/>
        </w:rPr>
        <w:footnoteReference w:id="73"/>
      </w:r>
      <w:r w:rsidRPr="00D5478D">
        <w:rPr>
          <w:color w:val="000000" w:themeColor="text1"/>
        </w:rPr>
        <w:t xml:space="preserve"> </w:t>
      </w:r>
      <w:r>
        <w:rPr>
          <w:color w:val="000000" w:themeColor="text1"/>
        </w:rPr>
        <w:t>These words constituted</w:t>
      </w:r>
      <w:r w:rsidRPr="00D5478D">
        <w:rPr>
          <w:color w:val="000000" w:themeColor="text1"/>
        </w:rPr>
        <w:t xml:space="preserve"> a clear call fo</w:t>
      </w:r>
      <w:r>
        <w:rPr>
          <w:color w:val="000000" w:themeColor="text1"/>
        </w:rPr>
        <w:t>r a Flemish identity that existed</w:t>
      </w:r>
      <w:r w:rsidRPr="00D5478D">
        <w:rPr>
          <w:color w:val="000000" w:themeColor="text1"/>
        </w:rPr>
        <w:t xml:space="preserve"> within Belgium and</w:t>
      </w:r>
      <w:r>
        <w:rPr>
          <w:color w:val="000000" w:themeColor="text1"/>
        </w:rPr>
        <w:t xml:space="preserve"> coexisted</w:t>
      </w:r>
      <w:r w:rsidRPr="00D5478D">
        <w:rPr>
          <w:color w:val="000000" w:themeColor="text1"/>
        </w:rPr>
        <w:t xml:space="preserve"> within a broader Belgian identity </w:t>
      </w:r>
      <w:r>
        <w:rPr>
          <w:color w:val="000000" w:themeColor="text1"/>
        </w:rPr>
        <w:t>alongside</w:t>
      </w:r>
      <w:r w:rsidRPr="00D5478D">
        <w:rPr>
          <w:color w:val="000000" w:themeColor="text1"/>
        </w:rPr>
        <w:t xml:space="preserve"> a</w:t>
      </w:r>
      <w:r>
        <w:rPr>
          <w:color w:val="000000" w:themeColor="text1"/>
        </w:rPr>
        <w:t xml:space="preserve"> separate Walloon community. It also explicitly placed</w:t>
      </w:r>
      <w:r w:rsidRPr="00D5478D">
        <w:rPr>
          <w:color w:val="000000" w:themeColor="text1"/>
        </w:rPr>
        <w:t xml:space="preserve"> the acceptance of both identities as the</w:t>
      </w:r>
      <w:r>
        <w:rPr>
          <w:color w:val="000000" w:themeColor="text1"/>
        </w:rPr>
        <w:t xml:space="preserve"> cornerstone of a strong Belgian</w:t>
      </w:r>
      <w:r w:rsidRPr="00D5478D">
        <w:rPr>
          <w:color w:val="000000" w:themeColor="text1"/>
        </w:rPr>
        <w:t xml:space="preserve"> nation. However, as the movement progressed and political victories were not forthcoming, some authors began to disavow this early view of </w:t>
      </w:r>
      <w:proofErr w:type="spellStart"/>
      <w:r w:rsidRPr="00D5478D">
        <w:rPr>
          <w:color w:val="000000" w:themeColor="text1"/>
        </w:rPr>
        <w:t>Flemish</w:t>
      </w:r>
      <w:r>
        <w:rPr>
          <w:color w:val="000000" w:themeColor="text1"/>
        </w:rPr>
        <w:t>ness</w:t>
      </w:r>
      <w:proofErr w:type="spellEnd"/>
      <w:r w:rsidRPr="00D5478D">
        <w:rPr>
          <w:color w:val="000000" w:themeColor="text1"/>
        </w:rPr>
        <w:t xml:space="preserve"> within a Belgian identity.</w:t>
      </w:r>
    </w:p>
    <w:p w14:paraId="0B691625" w14:textId="77777777" w:rsidR="00961436" w:rsidRPr="00D5478D" w:rsidRDefault="00961436" w:rsidP="00961436">
      <w:pPr>
        <w:shd w:val="clear" w:color="auto" w:fill="FFFFFF"/>
        <w:spacing w:line="480" w:lineRule="auto"/>
        <w:ind w:firstLine="720"/>
        <w:rPr>
          <w:color w:val="000000" w:themeColor="text1"/>
        </w:rPr>
      </w:pPr>
      <w:r>
        <w:rPr>
          <w:color w:val="000000" w:themeColor="text1"/>
        </w:rPr>
        <w:t>In the decades after</w:t>
      </w:r>
      <w:r w:rsidRPr="00D5478D">
        <w:rPr>
          <w:color w:val="000000" w:themeColor="text1"/>
        </w:rPr>
        <w:t xml:space="preserve"> 1830, the Flemish Movement began to construct Flemish identity in direct opposition to Walloon identity. In a poem written in 1856, J</w:t>
      </w:r>
      <w:r>
        <w:rPr>
          <w:color w:val="000000" w:themeColor="text1"/>
        </w:rPr>
        <w:t xml:space="preserve">an Baptist Van </w:t>
      </w:r>
      <w:proofErr w:type="spellStart"/>
      <w:r>
        <w:rPr>
          <w:color w:val="000000" w:themeColor="text1"/>
        </w:rPr>
        <w:t>Ryswyck</w:t>
      </w:r>
      <w:proofErr w:type="spellEnd"/>
      <w:r>
        <w:rPr>
          <w:color w:val="000000" w:themeColor="text1"/>
        </w:rPr>
        <w:t xml:space="preserve"> wrote</w:t>
      </w:r>
      <w:r w:rsidRPr="00D5478D">
        <w:rPr>
          <w:color w:val="000000" w:themeColor="text1"/>
        </w:rPr>
        <w:t xml:space="preserve">, “Be French, we are told, and all this will be </w:t>
      </w:r>
      <w:proofErr w:type="gramStart"/>
      <w:r w:rsidRPr="00D5478D">
        <w:rPr>
          <w:color w:val="000000" w:themeColor="text1"/>
        </w:rPr>
        <w:t>over./</w:t>
      </w:r>
      <w:proofErr w:type="gramEnd"/>
      <w:r w:rsidRPr="00D5478D">
        <w:rPr>
          <w:color w:val="000000" w:themeColor="text1"/>
        </w:rPr>
        <w:t xml:space="preserve"> Oh yes! Be French! Bastardize yourselves!”</w:t>
      </w:r>
      <w:r w:rsidRPr="00D5478D">
        <w:rPr>
          <w:rStyle w:val="FootnoteReference"/>
          <w:color w:val="000000" w:themeColor="text1"/>
        </w:rPr>
        <w:footnoteReference w:id="74"/>
      </w:r>
      <w:r>
        <w:rPr>
          <w:color w:val="000000" w:themeColor="text1"/>
        </w:rPr>
        <w:t xml:space="preserve"> This was</w:t>
      </w:r>
      <w:r w:rsidRPr="00D5478D">
        <w:rPr>
          <w:color w:val="000000" w:themeColor="text1"/>
        </w:rPr>
        <w:t xml:space="preserve"> an escalation from earlier calls for a Flemish identity within the context of a broader Belgian identity. After only a few years, the Flemish identity came to be based on both language and a fundamental opposition to a </w:t>
      </w:r>
      <w:r>
        <w:rPr>
          <w:color w:val="000000" w:themeColor="text1"/>
        </w:rPr>
        <w:t>French and Walloon dominance</w:t>
      </w:r>
      <w:r w:rsidRPr="00D5478D">
        <w:rPr>
          <w:color w:val="000000" w:themeColor="text1"/>
        </w:rPr>
        <w:t>.</w:t>
      </w:r>
      <w:r>
        <w:rPr>
          <w:color w:val="000000" w:themeColor="text1"/>
        </w:rPr>
        <w:t xml:space="preserve"> This shift is explored in more depth in chapter two. The explicit opposition to Walloon priorities</w:t>
      </w:r>
      <w:r w:rsidRPr="00D5478D">
        <w:rPr>
          <w:color w:val="000000" w:themeColor="text1"/>
        </w:rPr>
        <w:t xml:space="preserve"> fed into the construction of a Walloon identity and a Walloon nationalist bloc.</w:t>
      </w:r>
    </w:p>
    <w:p w14:paraId="59834DDA" w14:textId="77777777" w:rsidR="00961436" w:rsidRDefault="00961436" w:rsidP="00961436">
      <w:pPr>
        <w:shd w:val="clear" w:color="auto" w:fill="FFFFFF"/>
        <w:spacing w:line="480" w:lineRule="auto"/>
        <w:ind w:firstLine="720"/>
        <w:rPr>
          <w:color w:val="000000" w:themeColor="text1"/>
        </w:rPr>
      </w:pPr>
      <w:r w:rsidRPr="00D5478D">
        <w:rPr>
          <w:color w:val="000000" w:themeColor="text1"/>
        </w:rPr>
        <w:lastRenderedPageBreak/>
        <w:t xml:space="preserve">Wallonia encompasses the southern part of Belgium. Through exploitation of coal mines during the Industrial Revolution, Wallonia </w:t>
      </w:r>
      <w:r>
        <w:rPr>
          <w:color w:val="000000" w:themeColor="text1"/>
        </w:rPr>
        <w:t>gained</w:t>
      </w:r>
      <w:r w:rsidRPr="00D5478D">
        <w:rPr>
          <w:color w:val="000000" w:themeColor="text1"/>
        </w:rPr>
        <w:t xml:space="preserve"> economic dominance over Flanders.</w:t>
      </w:r>
      <w:r w:rsidRPr="00D5478D">
        <w:rPr>
          <w:rStyle w:val="FootnoteReference"/>
          <w:color w:val="000000" w:themeColor="text1"/>
        </w:rPr>
        <w:footnoteReference w:id="75"/>
      </w:r>
      <w:r w:rsidRPr="00D5478D">
        <w:rPr>
          <w:color w:val="000000" w:themeColor="text1"/>
        </w:rPr>
        <w:t xml:space="preserve"> Today, Wallonia hold</w:t>
      </w:r>
      <w:r>
        <w:rPr>
          <w:color w:val="000000" w:themeColor="text1"/>
        </w:rPr>
        <w:t>s</w:t>
      </w:r>
      <w:r w:rsidRPr="00D5478D">
        <w:rPr>
          <w:color w:val="000000" w:themeColor="text1"/>
        </w:rPr>
        <w:t xml:space="preserve"> about 32 percent of the total population of Belgium.</w:t>
      </w:r>
      <w:r w:rsidRPr="00D5478D">
        <w:rPr>
          <w:rStyle w:val="FootnoteReference"/>
          <w:color w:val="000000" w:themeColor="text1"/>
        </w:rPr>
        <w:footnoteReference w:id="76"/>
      </w:r>
      <w:r w:rsidRPr="00D5478D">
        <w:rPr>
          <w:color w:val="000000" w:themeColor="text1"/>
        </w:rPr>
        <w:t xml:space="preserve"> </w:t>
      </w:r>
      <w:r>
        <w:rPr>
          <w:color w:val="000000" w:themeColor="text1"/>
        </w:rPr>
        <w:t xml:space="preserve">In the mid- and late-nineteenth century, when advocates for the Flemings began their construction of a Flemish identity, “Walloon” was sometime synonymous with “Belgian”. This connection stemmed directly from the dominance of French language in the Belgian government and among the upper classes. During the nineteenth century in Belgium, </w:t>
      </w:r>
      <w:proofErr w:type="gramStart"/>
      <w:r>
        <w:rPr>
          <w:color w:val="000000" w:themeColor="text1"/>
        </w:rPr>
        <w:t>in order to</w:t>
      </w:r>
      <w:proofErr w:type="gramEnd"/>
      <w:r>
        <w:rPr>
          <w:color w:val="000000" w:themeColor="text1"/>
        </w:rPr>
        <w:t xml:space="preserve"> work in the government, attend higher education institutions, or advance socially, one needed to speak French. Therefore, many conceived of Belgium as essentially French. However, as the Flemish Movement gained strength and began articulating a clear Flemish identity, many Walloons felt pressure to respond in a parallel way rather than defend Belgian identity.</w:t>
      </w:r>
    </w:p>
    <w:p w14:paraId="1D4E77D1" w14:textId="4B5DCA88" w:rsidR="00961436" w:rsidRDefault="00961436" w:rsidP="00961436">
      <w:pPr>
        <w:shd w:val="clear" w:color="auto" w:fill="FFFFFF"/>
        <w:spacing w:line="480" w:lineRule="auto"/>
        <w:ind w:firstLine="720"/>
        <w:rPr>
          <w:color w:val="000000" w:themeColor="text1"/>
        </w:rPr>
      </w:pPr>
      <w:r>
        <w:rPr>
          <w:color w:val="000000" w:themeColor="text1"/>
        </w:rPr>
        <w:t>Walloon</w:t>
      </w:r>
      <w:r w:rsidRPr="00D5478D">
        <w:rPr>
          <w:color w:val="000000" w:themeColor="text1"/>
        </w:rPr>
        <w:t xml:space="preserve"> identity formed in a direct reaction to the development of a Flemish identity and a Flemish Movement. Many Walloons, especially around the turn of the 20</w:t>
      </w:r>
      <w:r w:rsidRPr="00D5478D">
        <w:rPr>
          <w:color w:val="000000" w:themeColor="text1"/>
          <w:vertAlign w:val="superscript"/>
        </w:rPr>
        <w:t>th</w:t>
      </w:r>
      <w:r w:rsidRPr="00D5478D">
        <w:rPr>
          <w:color w:val="000000" w:themeColor="text1"/>
        </w:rPr>
        <w:t xml:space="preserve"> Century, began to feel </w:t>
      </w:r>
      <w:r>
        <w:rPr>
          <w:color w:val="000000" w:themeColor="text1"/>
        </w:rPr>
        <w:t xml:space="preserve">that </w:t>
      </w:r>
      <w:r w:rsidRPr="00D5478D">
        <w:rPr>
          <w:color w:val="000000" w:themeColor="text1"/>
        </w:rPr>
        <w:t>the gains of the Flemish Movement had gone too far.</w:t>
      </w:r>
      <w:r>
        <w:rPr>
          <w:color w:val="000000" w:themeColor="text1"/>
        </w:rPr>
        <w:t xml:space="preserve"> </w:t>
      </w:r>
      <w:proofErr w:type="gramStart"/>
      <w:r>
        <w:rPr>
          <w:color w:val="000000" w:themeColor="text1"/>
        </w:rPr>
        <w:t>In particular, many</w:t>
      </w:r>
      <w:proofErr w:type="gramEnd"/>
      <w:r>
        <w:rPr>
          <w:color w:val="000000" w:themeColor="text1"/>
        </w:rPr>
        <w:t xml:space="preserve"> Walloons felt that advocates for language parity had achieved their goal during the la</w:t>
      </w:r>
      <w:r w:rsidR="008B4124">
        <w:rPr>
          <w:color w:val="000000" w:themeColor="text1"/>
        </w:rPr>
        <w:t>t</w:t>
      </w:r>
      <w:r>
        <w:rPr>
          <w:color w:val="000000" w:themeColor="text1"/>
        </w:rPr>
        <w:t>ter half of the nineteenth century and were progressing to direct attacks on the use of French in Belgium. As a result</w:t>
      </w:r>
      <w:r w:rsidRPr="00D5478D">
        <w:rPr>
          <w:color w:val="000000" w:themeColor="text1"/>
        </w:rPr>
        <w:t xml:space="preserve">, </w:t>
      </w:r>
      <w:r>
        <w:rPr>
          <w:color w:val="000000" w:themeColor="text1"/>
        </w:rPr>
        <w:t xml:space="preserve">many in Wallonia felt </w:t>
      </w:r>
      <w:r w:rsidRPr="00D5478D">
        <w:rPr>
          <w:color w:val="000000" w:themeColor="text1"/>
        </w:rPr>
        <w:t>the mistreatment at the hands of the state now fell on the Walloons.</w:t>
      </w:r>
      <w:r w:rsidRPr="00D5478D">
        <w:rPr>
          <w:rStyle w:val="FootnoteReference"/>
          <w:color w:val="000000" w:themeColor="text1"/>
        </w:rPr>
        <w:footnoteReference w:id="77"/>
      </w:r>
      <w:r w:rsidRPr="00D5478D">
        <w:rPr>
          <w:color w:val="000000" w:themeColor="text1"/>
        </w:rPr>
        <w:t xml:space="preserve"> </w:t>
      </w:r>
      <w:r>
        <w:rPr>
          <w:color w:val="000000" w:themeColor="text1"/>
        </w:rPr>
        <w:t xml:space="preserve">For example, in 1912, </w:t>
      </w:r>
      <w:r w:rsidRPr="00D5478D">
        <w:rPr>
          <w:color w:val="000000" w:themeColor="text1"/>
        </w:rPr>
        <w:t xml:space="preserve">Jules </w:t>
      </w:r>
      <w:proofErr w:type="spellStart"/>
      <w:r w:rsidRPr="00D5478D">
        <w:rPr>
          <w:color w:val="000000" w:themeColor="text1"/>
        </w:rPr>
        <w:t>Destrée</w:t>
      </w:r>
      <w:proofErr w:type="spellEnd"/>
      <w:r>
        <w:rPr>
          <w:color w:val="000000" w:themeColor="text1"/>
        </w:rPr>
        <w:t>, a Walloon, wrote</w:t>
      </w:r>
      <w:r w:rsidRPr="00D5478D">
        <w:rPr>
          <w:color w:val="000000" w:themeColor="text1"/>
        </w:rPr>
        <w:t xml:space="preserve"> of how the Flemings “have taken our [Walloon] past from us [Walloons].”</w:t>
      </w:r>
      <w:r w:rsidRPr="00D5478D">
        <w:rPr>
          <w:rStyle w:val="FootnoteReference"/>
          <w:color w:val="000000" w:themeColor="text1"/>
        </w:rPr>
        <w:footnoteReference w:id="78"/>
      </w:r>
      <w:r w:rsidRPr="00D5478D">
        <w:rPr>
          <w:color w:val="000000" w:themeColor="text1"/>
        </w:rPr>
        <w:t xml:space="preserve"> </w:t>
      </w:r>
      <w:r>
        <w:rPr>
          <w:color w:val="000000" w:themeColor="text1"/>
        </w:rPr>
        <w:t xml:space="preserve">Because the Walloon consciousness expressed by </w:t>
      </w:r>
      <w:proofErr w:type="spellStart"/>
      <w:r>
        <w:rPr>
          <w:color w:val="000000" w:themeColor="text1"/>
        </w:rPr>
        <w:t>Destrée</w:t>
      </w:r>
      <w:proofErr w:type="spellEnd"/>
      <w:r>
        <w:rPr>
          <w:color w:val="000000" w:themeColor="text1"/>
        </w:rPr>
        <w:t xml:space="preserve"> </w:t>
      </w:r>
      <w:r>
        <w:rPr>
          <w:color w:val="000000" w:themeColor="text1"/>
        </w:rPr>
        <w:lastRenderedPageBreak/>
        <w:t>and others was based on a direct reaction to an ascendant Flemish identity and a perceived attack on the French language, the Walloon Movement and Walloon identity focused on language as a key component of identity.</w:t>
      </w:r>
    </w:p>
    <w:p w14:paraId="66575BAC" w14:textId="1F789745" w:rsidR="00961436" w:rsidRPr="009A401A" w:rsidRDefault="00961436" w:rsidP="00961436">
      <w:pPr>
        <w:shd w:val="clear" w:color="auto" w:fill="FFFFFF"/>
        <w:spacing w:line="480" w:lineRule="auto"/>
        <w:rPr>
          <w:color w:val="000000" w:themeColor="text1"/>
        </w:rPr>
      </w:pPr>
      <w:r>
        <w:rPr>
          <w:color w:val="000000" w:themeColor="text1"/>
        </w:rPr>
        <w:tab/>
        <w:t xml:space="preserve">In each of these cases, historical forces set the stage for constructions of identity. The context of each case constrained actors and their choices </w:t>
      </w:r>
      <w:proofErr w:type="gramStart"/>
      <w:r>
        <w:rPr>
          <w:color w:val="000000" w:themeColor="text1"/>
        </w:rPr>
        <w:t>on the basis of</w:t>
      </w:r>
      <w:proofErr w:type="gramEnd"/>
      <w:r>
        <w:rPr>
          <w:color w:val="000000" w:themeColor="text1"/>
        </w:rPr>
        <w:t xml:space="preserve"> the identities they created. All three cases point to the importance of the Other</w:t>
      </w:r>
      <w:r w:rsidR="00440071">
        <w:rPr>
          <w:rStyle w:val="FootnoteReference"/>
          <w:color w:val="000000" w:themeColor="text1"/>
        </w:rPr>
        <w:footnoteReference w:id="79"/>
      </w:r>
      <w:r>
        <w:rPr>
          <w:color w:val="000000" w:themeColor="text1"/>
        </w:rPr>
        <w:t>, the force against which actors move, in the early stages of identity construction. The next chapter focuses on this early construction of identity in each of the three cases, emphasizing the role of both external and internal groups in the creation process.</w:t>
      </w:r>
    </w:p>
    <w:p w14:paraId="4064D204" w14:textId="77777777" w:rsidR="00961436" w:rsidRDefault="00961436" w:rsidP="00961436"/>
    <w:p w14:paraId="76D9B8F1" w14:textId="77777777" w:rsidR="00961436" w:rsidRDefault="00961436">
      <w:r>
        <w:br w:type="page"/>
      </w:r>
    </w:p>
    <w:p w14:paraId="1998FF6C" w14:textId="77777777" w:rsidR="00961436" w:rsidRDefault="00961436" w:rsidP="00E91E41">
      <w:pPr>
        <w:spacing w:line="480" w:lineRule="auto"/>
        <w:jc w:val="center"/>
        <w:rPr>
          <w:b/>
        </w:rPr>
      </w:pPr>
      <w:r>
        <w:rPr>
          <w:b/>
        </w:rPr>
        <w:lastRenderedPageBreak/>
        <w:t>Chapter 2:</w:t>
      </w:r>
    </w:p>
    <w:p w14:paraId="1D8B8E1B" w14:textId="77777777" w:rsidR="00961436" w:rsidRDefault="00961436" w:rsidP="00E91E41">
      <w:pPr>
        <w:spacing w:line="480" w:lineRule="auto"/>
        <w:jc w:val="center"/>
        <w:rPr>
          <w:b/>
        </w:rPr>
      </w:pPr>
      <w:r>
        <w:rPr>
          <w:b/>
        </w:rPr>
        <w:t>The Nation Sings</w:t>
      </w:r>
    </w:p>
    <w:p w14:paraId="0DD75A4F" w14:textId="77777777" w:rsidR="00961436" w:rsidRPr="0020711C" w:rsidRDefault="00961436" w:rsidP="00961436">
      <w:pPr>
        <w:spacing w:line="480" w:lineRule="auto"/>
      </w:pPr>
      <w:r>
        <w:tab/>
        <w:t xml:space="preserve">This chapter explores the early phases of identity construction in all three cases. In the cases of Scotland and Korea, it looks at the of role folk culture with a </w:t>
      </w:r>
      <w:proofErr w:type="gramStart"/>
      <w:r>
        <w:t>particular emphasis</w:t>
      </w:r>
      <w:proofErr w:type="gramEnd"/>
      <w:r>
        <w:t xml:space="preserve"> on how both songs and collectors understood the position of folk music and dance in the construction of a unique national identity. In both cases, the presence of an aggressor – England and Japan –influenced how folk culture was deployed. In the case of Belgium, the chapter looks at early assertions of Flemish and Walloon identity and why folk culture was not deployed in either case. Instead, the chapter focuses on why language and, in some cases, literature, became such important touchstones for Flemish and Walloon identity in the nineteenth and early twentieth century.</w:t>
      </w:r>
    </w:p>
    <w:p w14:paraId="19B03A87" w14:textId="77777777" w:rsidR="00961436" w:rsidRPr="00B25F1D" w:rsidRDefault="00961436" w:rsidP="00961436">
      <w:pPr>
        <w:spacing w:line="480" w:lineRule="auto"/>
        <w:rPr>
          <w:b/>
        </w:rPr>
      </w:pPr>
      <w:r w:rsidRPr="00B25F1D">
        <w:rPr>
          <w:b/>
        </w:rPr>
        <w:t>Scotland</w:t>
      </w:r>
    </w:p>
    <w:p w14:paraId="18C21EDE" w14:textId="77777777" w:rsidR="00961436" w:rsidRDefault="00961436" w:rsidP="00961436">
      <w:pPr>
        <w:spacing w:line="480" w:lineRule="auto"/>
      </w:pPr>
      <w:r>
        <w:tab/>
        <w:t xml:space="preserve">Go to Edinburgh or Glasgow, cities of the Lowlands, and you will find bagpipes and kilts, symbols of the Highlands, everywhere. Today, these symbols </w:t>
      </w:r>
      <w:proofErr w:type="gramStart"/>
      <w:r>
        <w:t>are seen as</w:t>
      </w:r>
      <w:proofErr w:type="gramEnd"/>
      <w:r>
        <w:t xml:space="preserve"> Scottish, not just the legacy of the Highlands. This section outlines how collectors utilized folk culture to construct a unified Scottish identity against an English identity and in the process brought bagpipes to Edinburgh.</w:t>
      </w:r>
    </w:p>
    <w:p w14:paraId="6A26EB9C" w14:textId="77777777" w:rsidR="00961436" w:rsidRDefault="00961436" w:rsidP="00961436">
      <w:pPr>
        <w:spacing w:line="480" w:lineRule="auto"/>
        <w:ind w:firstLine="720"/>
      </w:pPr>
      <w:r>
        <w:t xml:space="preserve">Scotland has a long history of conflict with England, as the two nations share the same relatively small island. Often, these conflicts involved an invasion of Scotland by English forces. Some have already been outlined in the first chapter, but there were countless examples. Many of these invasions were memorialized in Scottish folk music, tales told to recurring generations that often glorify Scottish defenders of their rights against English encroachment. This history of defending against English incursions, combined with resistance to the Treaty of Union in 1707 </w:t>
      </w:r>
      <w:r>
        <w:lastRenderedPageBreak/>
        <w:t xml:space="preserve">and a perception, among some, of the imposition of English rule on Scotland, heavily influenced the construction of Scottish identity. In the eighteenth and early nineteenth centuries, </w:t>
      </w:r>
      <w:proofErr w:type="spellStart"/>
      <w:r>
        <w:t>Scottishness</w:t>
      </w:r>
      <w:proofErr w:type="spellEnd"/>
      <w:r>
        <w:t xml:space="preserve"> was constructed both in opposition to an English identity and to unify Highland and Lowland identities. </w:t>
      </w:r>
    </w:p>
    <w:p w14:paraId="7229AC04" w14:textId="77777777" w:rsidR="00961436" w:rsidRDefault="00961436" w:rsidP="00961436">
      <w:pPr>
        <w:spacing w:line="480" w:lineRule="auto"/>
        <w:ind w:firstLine="720"/>
      </w:pPr>
      <w:r>
        <w:t>To chronicle the construction of Scottish identity during this period, this section first traces how songs memorialized historical battles between Scottish and English forces. The evolution of how the songs described defenders of Scottish territory shows how identity between the Highlands and the Lowlands developed during this period. Then, the section looks at one of the most famous collectors of Scottish songs – Robert Burns – to exemplify how collectors viewed and deployed folk music.</w:t>
      </w:r>
    </w:p>
    <w:p w14:paraId="43B90851" w14:textId="77777777" w:rsidR="00961436" w:rsidRDefault="00961436" w:rsidP="00961436">
      <w:pPr>
        <w:spacing w:line="480" w:lineRule="auto"/>
      </w:pPr>
      <w:r>
        <w:tab/>
      </w:r>
      <w:proofErr w:type="gramStart"/>
      <w:r>
        <w:t>A number of</w:t>
      </w:r>
      <w:proofErr w:type="gramEnd"/>
      <w:r>
        <w:t xml:space="preserve"> folk songs in Scotland either directly described or referenced battles between English and Scottish forces. Looking at these songs can reveal how these events were remembered and incorporated into collective memory and identity. One such song, “The </w:t>
      </w:r>
      <w:proofErr w:type="spellStart"/>
      <w:r>
        <w:t>Haughs</w:t>
      </w:r>
      <w:proofErr w:type="spellEnd"/>
      <w:r>
        <w:t xml:space="preserve"> o’ </w:t>
      </w:r>
      <w:proofErr w:type="spellStart"/>
      <w:r>
        <w:t>Cromdale</w:t>
      </w:r>
      <w:proofErr w:type="spellEnd"/>
      <w:r>
        <w:t xml:space="preserve">,” chronicled a battle over a Highland town during the rule of Oliver Cromwell and the English Republic in the seventeenth century. The song started by detailing how the Scottish lost the town: “We were in bed, fir, every </w:t>
      </w:r>
      <w:proofErr w:type="gramStart"/>
      <w:r>
        <w:t>man,/</w:t>
      </w:r>
      <w:proofErr w:type="gramEnd"/>
      <w:r>
        <w:t xml:space="preserve">When </w:t>
      </w:r>
      <w:proofErr w:type="spellStart"/>
      <w:r>
        <w:t>th</w:t>
      </w:r>
      <w:proofErr w:type="spellEnd"/>
      <w:r>
        <w:t xml:space="preserve">’ English host upon us came;/A </w:t>
      </w:r>
      <w:proofErr w:type="spellStart"/>
      <w:r>
        <w:t>bludey</w:t>
      </w:r>
      <w:proofErr w:type="spellEnd"/>
      <w:r>
        <w:t xml:space="preserve"> battle then began,/Upon the </w:t>
      </w:r>
      <w:proofErr w:type="spellStart"/>
      <w:r>
        <w:t>haughs</w:t>
      </w:r>
      <w:proofErr w:type="spellEnd"/>
      <w:r>
        <w:t xml:space="preserve"> o’ </w:t>
      </w:r>
      <w:proofErr w:type="spellStart"/>
      <w:r>
        <w:t>Cromdale</w:t>
      </w:r>
      <w:proofErr w:type="spellEnd"/>
      <w:r>
        <w:t>”</w:t>
      </w:r>
      <w:r>
        <w:rPr>
          <w:rStyle w:val="FootnoteReference"/>
        </w:rPr>
        <w:footnoteReference w:id="80"/>
      </w:r>
      <w:r>
        <w:t xml:space="preserve"> This construction of the tale immediately put the Scottish forces on the defensive against the presumably illegitimate aggression of Cromwell’s English forces. The song then detailed how the Duke of Montrose, a giant in Scottish history for his victories over Cromwell’s army, retook the town: “They were at dinner, every man,/When great Montrose upon them came,/A second battle then began,/Upon the </w:t>
      </w:r>
      <w:proofErr w:type="spellStart"/>
      <w:r>
        <w:t>haughs</w:t>
      </w:r>
      <w:proofErr w:type="spellEnd"/>
      <w:r>
        <w:t xml:space="preserve"> </w:t>
      </w:r>
      <w:r>
        <w:lastRenderedPageBreak/>
        <w:t xml:space="preserve">o’ </w:t>
      </w:r>
      <w:proofErr w:type="spellStart"/>
      <w:r>
        <w:t>Cromdale</w:t>
      </w:r>
      <w:proofErr w:type="spellEnd"/>
      <w:r>
        <w:t>”</w:t>
      </w:r>
      <w:r>
        <w:rPr>
          <w:rStyle w:val="FootnoteReference"/>
        </w:rPr>
        <w:footnoteReference w:id="81"/>
      </w:r>
      <w:r>
        <w:t xml:space="preserve"> The parallels with the first battle are notable, and were most likely drawn to both make the song easier to remember as it was transmitted orally and to create a sense of retributive justice for the Scottish forces against English forces, using their own tactic against them, much more effectively. </w:t>
      </w:r>
      <w:proofErr w:type="gramStart"/>
      <w:r>
        <w:t>The majority of</w:t>
      </w:r>
      <w:proofErr w:type="gramEnd"/>
      <w:r>
        <w:t xml:space="preserve"> the song recounted the clans that fought with Montrose against Cromwell.</w:t>
      </w:r>
      <w:r>
        <w:rPr>
          <w:rStyle w:val="FootnoteReference"/>
        </w:rPr>
        <w:footnoteReference w:id="82"/>
      </w:r>
      <w:r>
        <w:t xml:space="preserve"> This part of the song served, most likely, to keep the record of those who fought, as a history of the broader community and the clans who participated in the battle, and to glorify those who fought with Montrose. This song recounted the deeds of specifically Highland leaders and clans. The theme of Highland-specific narratives was seen in other songs from the period.</w:t>
      </w:r>
    </w:p>
    <w:p w14:paraId="2C80F6CD" w14:textId="77777777" w:rsidR="00961436" w:rsidRDefault="00961436" w:rsidP="00961436">
      <w:pPr>
        <w:spacing w:line="480" w:lineRule="auto"/>
        <w:ind w:firstLine="720"/>
      </w:pPr>
      <w:r>
        <w:t xml:space="preserve">One song spoke to “The Highland Character,” as it was entitled. This song reached into the past to bring forward a legacy of Highland resistance to invaders in an act of </w:t>
      </w:r>
      <w:proofErr w:type="spellStart"/>
      <w:r>
        <w:t>reappropriation</w:t>
      </w:r>
      <w:proofErr w:type="spellEnd"/>
      <w:r>
        <w:t xml:space="preserve"> by applying that history to other regions that had not engaged in the opposition. As it outlined, “In the garb of old Gaul, with the fire of old </w:t>
      </w:r>
      <w:proofErr w:type="gramStart"/>
      <w:r>
        <w:t>Rome,/</w:t>
      </w:r>
      <w:proofErr w:type="gramEnd"/>
      <w:r>
        <w:t xml:space="preserve">From the heath covered mountains of Scotia we come,/Where the Romans </w:t>
      </w:r>
      <w:proofErr w:type="spellStart"/>
      <w:r>
        <w:t>endeavoured</w:t>
      </w:r>
      <w:proofErr w:type="spellEnd"/>
      <w:r>
        <w:t xml:space="preserve"> our country to gain;/But our ancestors fought, and they fought not in vain. . . . </w:t>
      </w:r>
      <w:proofErr w:type="gramStart"/>
      <w:r>
        <w:t>So</w:t>
      </w:r>
      <w:proofErr w:type="gramEnd"/>
      <w:r>
        <w:t xml:space="preserve"> do we the old Scottish </w:t>
      </w:r>
      <w:proofErr w:type="spellStart"/>
      <w:r>
        <w:t>valour</w:t>
      </w:r>
      <w:proofErr w:type="spellEnd"/>
      <w:r>
        <w:t xml:space="preserve"> retain.”</w:t>
      </w:r>
      <w:r>
        <w:rPr>
          <w:rStyle w:val="FootnoteReference"/>
        </w:rPr>
        <w:footnoteReference w:id="83"/>
      </w:r>
      <w:r>
        <w:t xml:space="preserve"> The song </w:t>
      </w:r>
      <w:proofErr w:type="spellStart"/>
      <w:r>
        <w:t>reapproriated</w:t>
      </w:r>
      <w:proofErr w:type="spellEnd"/>
      <w:r>
        <w:t xml:space="preserve"> history, in this case, the history of warriors from what is now Scotland fighting against Roman forces, to create a long legacy of Scottish martial prowess and valor. This legacy, however, did not apply to all of Scotland but just to the Highlands. This song exemplified the division between Highland and Lowland identity in that it only claimed a legacy of military resistance for the Highlands. This was important because, in the wake of the Treaty of Union and the last Jacobite </w:t>
      </w:r>
      <w:r>
        <w:lastRenderedPageBreak/>
        <w:t xml:space="preserve">rebellion in 1745, much work on Scottish identity was devoted to mending the rift between Highland and Lowland identity. </w:t>
      </w:r>
    </w:p>
    <w:p w14:paraId="6A88D51C" w14:textId="77777777" w:rsidR="00961436" w:rsidRDefault="00961436" w:rsidP="00961436">
      <w:pPr>
        <w:spacing w:line="480" w:lineRule="auto"/>
      </w:pPr>
      <w:r>
        <w:tab/>
        <w:t xml:space="preserve">Other songs were explicitly political and made statements about a political situation. Songs regarding the independence of the Scottish nation often made explicit reference to a political event. One song, “On the Act of Succession,” written in 1703, made a clear point about the author’s feelings regarding a Union between England and Scotland. As he wrote, “Old Scotland at last is grown </w:t>
      </w:r>
      <w:proofErr w:type="gramStart"/>
      <w:r>
        <w:t>wise,/</w:t>
      </w:r>
      <w:proofErr w:type="gramEnd"/>
      <w:r>
        <w:t>And England shall bully no more” indicating that Scotland was at last prepared to take back any sovereignty that was lost in the Union of the Crowns in 1606.</w:t>
      </w:r>
      <w:r>
        <w:rPr>
          <w:rStyle w:val="FootnoteReference"/>
        </w:rPr>
        <w:footnoteReference w:id="84"/>
      </w:r>
      <w:r>
        <w:t xml:space="preserve"> The song, after speaking about the abuses against Scotland through this union with England, utilized historic examples to make the point that Scotland must reclaim her freedom:</w:t>
      </w:r>
    </w:p>
    <w:p w14:paraId="1E648DAF" w14:textId="77777777" w:rsidR="00961436" w:rsidRDefault="00961436" w:rsidP="00961436">
      <w:r>
        <w:tab/>
        <w:t>Let us think with what blood and what care</w:t>
      </w:r>
    </w:p>
    <w:p w14:paraId="129C2561" w14:textId="77777777" w:rsidR="00961436" w:rsidRDefault="00961436" w:rsidP="00961436">
      <w:r>
        <w:tab/>
        <w:t>Our ancestors kept themselves free;</w:t>
      </w:r>
    </w:p>
    <w:p w14:paraId="0B52B390" w14:textId="77777777" w:rsidR="00961436" w:rsidRDefault="00961436" w:rsidP="00961436">
      <w:r>
        <w:tab/>
        <w:t>What Bruce, and what Wallace could dare;</w:t>
      </w:r>
    </w:p>
    <w:p w14:paraId="7EBF4D10" w14:textId="77777777" w:rsidR="00961436" w:rsidRDefault="00961436" w:rsidP="00961436">
      <w:r>
        <w:tab/>
        <w:t>If they did so much, why then not we?</w:t>
      </w:r>
    </w:p>
    <w:p w14:paraId="0BFC5008" w14:textId="77777777" w:rsidR="00961436" w:rsidRDefault="00961436" w:rsidP="00961436">
      <w:r>
        <w:tab/>
        <w:t>Let Montrose and Dundee be brought in</w:t>
      </w:r>
    </w:p>
    <w:p w14:paraId="69970810" w14:textId="77777777" w:rsidR="00961436" w:rsidRDefault="00961436" w:rsidP="00961436">
      <w:r>
        <w:tab/>
        <w:t>As later examples before you;</w:t>
      </w:r>
    </w:p>
    <w:p w14:paraId="621D40C0" w14:textId="77777777" w:rsidR="00961436" w:rsidRDefault="00961436" w:rsidP="00961436">
      <w:r>
        <w:tab/>
        <w:t>And hold out but as you begin,</w:t>
      </w:r>
    </w:p>
    <w:p w14:paraId="1749F805" w14:textId="77777777" w:rsidR="00961436" w:rsidRDefault="00961436" w:rsidP="00961436">
      <w:pPr>
        <w:spacing w:line="480" w:lineRule="auto"/>
      </w:pPr>
      <w:r>
        <w:tab/>
        <w:t>Like them the next age will adore you.</w:t>
      </w:r>
      <w:r>
        <w:rPr>
          <w:rStyle w:val="FootnoteReference"/>
        </w:rPr>
        <w:footnoteReference w:id="85"/>
      </w:r>
    </w:p>
    <w:p w14:paraId="0BBC8B5F" w14:textId="77777777" w:rsidR="00961436" w:rsidRDefault="00961436" w:rsidP="00961436">
      <w:pPr>
        <w:spacing w:line="480" w:lineRule="auto"/>
      </w:pPr>
      <w:r>
        <w:t xml:space="preserve">This section of the song did a few things that are of interest to this paper. The first was the reference to key historical figures. Bruce, Wallace, Montrose, and Dundee were all Scottish noblemen who fought against the English during their day. The appeal to historical figures is, in many ways, </w:t>
      </w:r>
      <w:proofErr w:type="spellStart"/>
      <w:r>
        <w:t>reappropriation</w:t>
      </w:r>
      <w:proofErr w:type="spellEnd"/>
      <w:r>
        <w:t xml:space="preserve"> of history to construct a legacy of rebellion in Scotland against English oppression, “slavery,” and “shackles.”</w:t>
      </w:r>
      <w:r>
        <w:rPr>
          <w:rStyle w:val="FootnoteReference"/>
        </w:rPr>
        <w:footnoteReference w:id="86"/>
      </w:r>
      <w:r>
        <w:t xml:space="preserve"> The actions of the men mentioned were not detailed in the song because there was an assumption that their legacies were so central to the </w:t>
      </w:r>
      <w:r>
        <w:lastRenderedPageBreak/>
        <w:t xml:space="preserve">identity and history of a Scot that there was no need to speak anything other than their names to conjure up their stories in the minds of the audience. The way in which the names were mentioned – admonishing the youth to which the song was addressed to think of the legacy they were throwing away – made this not just a </w:t>
      </w:r>
      <w:proofErr w:type="spellStart"/>
      <w:r>
        <w:t>reapproriation</w:t>
      </w:r>
      <w:proofErr w:type="spellEnd"/>
      <w:r>
        <w:t xml:space="preserve"> of history but a </w:t>
      </w:r>
      <w:proofErr w:type="spellStart"/>
      <w:r>
        <w:t>reappropriation</w:t>
      </w:r>
      <w:proofErr w:type="spellEnd"/>
      <w:r>
        <w:t xml:space="preserve"> of history with a purposeful call to action to contribute to this legacy by embracing the Scottish tradition of rebellion and independence and bringing it into the present through the actions of the youth, the Scottish nation. There was a call to action to resist the Union and imposition of English rule through the construction of a historical legacy of resistance. This legacy of resistance was later utilized to create a </w:t>
      </w:r>
      <w:proofErr w:type="spellStart"/>
      <w:r>
        <w:t>Scottishness</w:t>
      </w:r>
      <w:proofErr w:type="spellEnd"/>
      <w:r>
        <w:t xml:space="preserve"> inclusive of Highlanders and Lowlanders.</w:t>
      </w:r>
    </w:p>
    <w:p w14:paraId="5B3B6DCA" w14:textId="434DA5E7" w:rsidR="00961436" w:rsidRDefault="00961436" w:rsidP="00961436">
      <w:pPr>
        <w:spacing w:line="480" w:lineRule="auto"/>
      </w:pPr>
      <w:r>
        <w:tab/>
        <w:t xml:space="preserve">By far, most of the songs collected and pointed to as exemplars of Scottish identity were composed about the Jacobite rebellions in 1715 and 1745. Many of these songs expressed the deep sense of loss and tragedy experienced by the Highlands after the last Jacobite rebellion was put down in 1746. One song quoted a man singing as he cried, “My seven raw sons for Jamie drew </w:t>
      </w:r>
      <w:proofErr w:type="gramStart"/>
      <w:r>
        <w:t>sword,/</w:t>
      </w:r>
      <w:proofErr w:type="gramEnd"/>
      <w:r>
        <w:t xml:space="preserve">And now I greet round their green bed in the </w:t>
      </w:r>
      <w:proofErr w:type="spellStart"/>
      <w:r>
        <w:t>yerd</w:t>
      </w:r>
      <w:proofErr w:type="spellEnd"/>
      <w:r>
        <w:t xml:space="preserve">;/It braw the sweet heart o’ my </w:t>
      </w:r>
      <w:proofErr w:type="spellStart"/>
      <w:r>
        <w:t>faithfu</w:t>
      </w:r>
      <w:proofErr w:type="spellEnd"/>
      <w:r>
        <w:t xml:space="preserve">’ auld dame: – /There’ll never be peace till Jamie comes </w:t>
      </w:r>
      <w:proofErr w:type="spellStart"/>
      <w:r>
        <w:t>hame</w:t>
      </w:r>
      <w:proofErr w:type="spellEnd"/>
      <w:r>
        <w:t>.”</w:t>
      </w:r>
      <w:r>
        <w:rPr>
          <w:rStyle w:val="FootnoteReference"/>
        </w:rPr>
        <w:footnoteReference w:id="87"/>
      </w:r>
      <w:r>
        <w:t xml:space="preserve"> This man, fictional or real, told of how he lost his entire family in the Jacobite rebellions – his sons to the battles and his wife to the heartbreak of losing her children. This sentiment, of deep personal and social loss, was a theme in many songs from this period. A song titled “The Tears of Scotland” held another example of this sentiment: “Mourn, hapless Caledonia, </w:t>
      </w:r>
      <w:proofErr w:type="gramStart"/>
      <w:r>
        <w:t>mourn,/</w:t>
      </w:r>
      <w:proofErr w:type="gramEnd"/>
      <w:r>
        <w:t xml:space="preserve">Thy </w:t>
      </w:r>
      <w:proofErr w:type="spellStart"/>
      <w:r>
        <w:t>banish’d</w:t>
      </w:r>
      <w:proofErr w:type="spellEnd"/>
      <w:r>
        <w:t xml:space="preserve"> peace, thy laurels torn!/Thy sons, for </w:t>
      </w:r>
      <w:proofErr w:type="spellStart"/>
      <w:r>
        <w:t>valour</w:t>
      </w:r>
      <w:proofErr w:type="spellEnd"/>
      <w:r>
        <w:t xml:space="preserve"> long </w:t>
      </w:r>
      <w:proofErr w:type="spellStart"/>
      <w:r>
        <w:t>renown’d</w:t>
      </w:r>
      <w:proofErr w:type="spellEnd"/>
      <w:r>
        <w:t xml:space="preserve">,/Lie </w:t>
      </w:r>
      <w:proofErr w:type="spellStart"/>
      <w:r>
        <w:t>slaughter’d</w:t>
      </w:r>
      <w:proofErr w:type="spellEnd"/>
      <w:r>
        <w:t xml:space="preserve"> on their native ground</w:t>
      </w:r>
      <w:r w:rsidR="002F1831">
        <w:t>.</w:t>
      </w:r>
      <w:r>
        <w:t>”</w:t>
      </w:r>
      <w:r>
        <w:rPr>
          <w:rStyle w:val="FootnoteReference"/>
        </w:rPr>
        <w:footnoteReference w:id="88"/>
      </w:r>
      <w:r>
        <w:t xml:space="preserve"> Not only did this song express the deep grief that the entirety of Scotland purportedly felt at its loss of </w:t>
      </w:r>
      <w:r>
        <w:lastRenderedPageBreak/>
        <w:t>sovereignty and the end of the Jacobite rebellions, but it framed it in the context of a military tradition. The song had a clearly Highland character, seen in its reference to Caledonia, an ancient Scottish kingdom in the Highlands, as well as its expression of grief over the Jacobite rebellions, a Highland experience. Through its framing, however, this song worked to bring a chiefly Highland cause to bear on all of Scotland, unifying the experience of both the Highlands and the Lowlands. In this way, songs such as “The Tears of Scotland” worked to create a unified Scottish identity out of separate Highland and Lowland identities.</w:t>
      </w:r>
    </w:p>
    <w:p w14:paraId="11EFB3A8" w14:textId="77777777" w:rsidR="00961436" w:rsidRDefault="00961436" w:rsidP="00961436">
      <w:pPr>
        <w:spacing w:line="480" w:lineRule="auto"/>
      </w:pPr>
      <w:r>
        <w:tab/>
        <w:t xml:space="preserve">While these songs themselves represented how Scottish identity began to shift and form, especially around the legacy of the </w:t>
      </w:r>
      <w:proofErr w:type="spellStart"/>
      <w:r>
        <w:t>Jacobites</w:t>
      </w:r>
      <w:proofErr w:type="spellEnd"/>
      <w:r>
        <w:t>, the way collectors interpreted and wrote about these songs also offers insight into how they understand the songs’ significance and role in identity. There is no more famous commenter on Scottish songs than Robert Burns. Today, Burns is revered as Scotland’s national poet, in part because of his use of Scots in his work, and his legacy holds a strong sway on modern Scottish identity. Burns’ conceptualization of folk songs and their role in a Scottish identity at the end of the eighteenth century, not that far removed from the Treaty of Union and Jacobite uprisings, exemplified how collectors chose songs to be included in their collections from among the thousands of folk songs in circulation at the time.</w:t>
      </w:r>
    </w:p>
    <w:p w14:paraId="33CBDC45" w14:textId="77777777" w:rsidR="00961436" w:rsidRDefault="00961436" w:rsidP="00961436">
      <w:pPr>
        <w:spacing w:line="480" w:lineRule="auto"/>
      </w:pPr>
      <w:r>
        <w:tab/>
        <w:t xml:space="preserve">In his collecting, </w:t>
      </w:r>
      <w:proofErr w:type="gramStart"/>
      <w:r>
        <w:t>Burns</w:t>
      </w:r>
      <w:proofErr w:type="gramEnd"/>
      <w:r>
        <w:t xml:space="preserve"> emphasized and prioritized the songs that were most popular among the “common people”. For Burns, the approval of the common people, “nature’s judges,” was enough to warrant inclusion into his collection.</w:t>
      </w:r>
      <w:r>
        <w:rPr>
          <w:rStyle w:val="FootnoteReference"/>
        </w:rPr>
        <w:footnoteReference w:id="89"/>
      </w:r>
      <w:r>
        <w:t xml:space="preserve"> Additionally, </w:t>
      </w:r>
      <w:proofErr w:type="gramStart"/>
      <w:r>
        <w:t>Burns</w:t>
      </w:r>
      <w:proofErr w:type="gramEnd"/>
      <w:r>
        <w:t xml:space="preserve"> prioritized older lyrics of songs to, in his words, “preserve the production of those earlier sons of the Scottish muses.”</w:t>
      </w:r>
      <w:r>
        <w:rPr>
          <w:rStyle w:val="FootnoteReference"/>
        </w:rPr>
        <w:footnoteReference w:id="90"/>
      </w:r>
      <w:r>
        <w:t xml:space="preserve"> </w:t>
      </w:r>
      <w:r>
        <w:lastRenderedPageBreak/>
        <w:t xml:space="preserve">These priorities aligned well with the priorities outlined by Smith and the ethno-symbolic approach to national identity. Burns engaged in crowing certain songs as symbols of as past Scottish culture and then utilized these songs as cornerstones in a developing Scottish identity. His concern with supposed authenticity led Burns’ commentary to focus on the popularity of </w:t>
      </w:r>
      <w:proofErr w:type="gramStart"/>
      <w:r>
        <w:t>particular songs</w:t>
      </w:r>
      <w:proofErr w:type="gramEnd"/>
      <w:r>
        <w:t xml:space="preserve"> as justification for their inclusion. For example, he described one song as “a song familiar from the cradle to every Scottish ear.”</w:t>
      </w:r>
      <w:r>
        <w:rPr>
          <w:rStyle w:val="FootnoteReference"/>
        </w:rPr>
        <w:footnoteReference w:id="91"/>
      </w:r>
      <w:r>
        <w:t xml:space="preserve"> In doing so, he set up a test of </w:t>
      </w:r>
      <w:proofErr w:type="spellStart"/>
      <w:r>
        <w:t>Scottishness</w:t>
      </w:r>
      <w:proofErr w:type="spellEnd"/>
      <w:r>
        <w:t>; only someone who could identify this song truly belonged to the Scottish nation. In this way, collectors used folk songs not just to construct a Scottish identity, but also to verify it.</w:t>
      </w:r>
    </w:p>
    <w:p w14:paraId="2ECE0B4C" w14:textId="77777777" w:rsidR="00961436" w:rsidRDefault="00961436" w:rsidP="00961436">
      <w:pPr>
        <w:spacing w:line="480" w:lineRule="auto"/>
      </w:pPr>
      <w:r>
        <w:tab/>
        <w:t xml:space="preserve">Additionally, </w:t>
      </w:r>
      <w:proofErr w:type="gramStart"/>
      <w:r>
        <w:t>Burns</w:t>
      </w:r>
      <w:proofErr w:type="gramEnd"/>
      <w:r>
        <w:t xml:space="preserve"> paid special attention to songs with a connection to the Jacobite rebellions and to important historical figures in Scotland’s history of resistance to English rule. As a later editor writes of Burns’ collecting habits, “A tradition that </w:t>
      </w:r>
      <w:r>
        <w:rPr>
          <w:i/>
        </w:rPr>
        <w:t xml:space="preserve">Hey </w:t>
      </w:r>
      <w:proofErr w:type="spellStart"/>
      <w:r>
        <w:rPr>
          <w:i/>
        </w:rPr>
        <w:t>tutti</w:t>
      </w:r>
      <w:proofErr w:type="spellEnd"/>
      <w:r>
        <w:rPr>
          <w:i/>
        </w:rPr>
        <w:t xml:space="preserve"> </w:t>
      </w:r>
      <w:proofErr w:type="spellStart"/>
      <w:r>
        <w:rPr>
          <w:i/>
        </w:rPr>
        <w:t>taiti</w:t>
      </w:r>
      <w:proofErr w:type="spellEnd"/>
      <w:r>
        <w:t xml:space="preserve"> was played at Bannockburn was sufficient to draw Burns’ attention to it.”</w:t>
      </w:r>
      <w:r>
        <w:rPr>
          <w:rStyle w:val="FootnoteReference"/>
        </w:rPr>
        <w:footnoteReference w:id="92"/>
      </w:r>
      <w:r>
        <w:t xml:space="preserve"> </w:t>
      </w:r>
      <w:r>
        <w:rPr>
          <w:i/>
        </w:rPr>
        <w:t xml:space="preserve">Hey </w:t>
      </w:r>
      <w:proofErr w:type="spellStart"/>
      <w:r>
        <w:rPr>
          <w:i/>
        </w:rPr>
        <w:t>tutti</w:t>
      </w:r>
      <w:proofErr w:type="spellEnd"/>
      <w:r>
        <w:rPr>
          <w:i/>
        </w:rPr>
        <w:t xml:space="preserve"> </w:t>
      </w:r>
      <w:proofErr w:type="spellStart"/>
      <w:r>
        <w:rPr>
          <w:i/>
        </w:rPr>
        <w:t>taiti</w:t>
      </w:r>
      <w:r>
        <w:t>’s</w:t>
      </w:r>
      <w:proofErr w:type="spellEnd"/>
      <w:r>
        <w:t xml:space="preserve"> connection to the legendary Battle of Bannockburn, where Robert the Bruce defeated the invading English Army, was pedigree enough to warrant its inclusion into the collection, regardless of its popularity as a folk song during Burns’ own time. The collection of this </w:t>
      </w:r>
      <w:proofErr w:type="gramStart"/>
      <w:r>
        <w:t>particular song</w:t>
      </w:r>
      <w:proofErr w:type="gramEnd"/>
      <w:r>
        <w:t xml:space="preserve"> exemplified how a connection with a historic figure symbolizing rebellion or independence for Scotland could override Burns’ concern with the origin and popularity of a song. </w:t>
      </w:r>
    </w:p>
    <w:p w14:paraId="31944059" w14:textId="77777777" w:rsidR="00961436" w:rsidRDefault="00961436" w:rsidP="00961436">
      <w:pPr>
        <w:spacing w:line="480" w:lineRule="auto"/>
      </w:pPr>
      <w:r>
        <w:tab/>
        <w:t>Burns also did not hide his own political leanings. In his diary kept during his two tours of the Highlands to collect songs, he wrote about the field of Bannockburn:</w:t>
      </w:r>
    </w:p>
    <w:p w14:paraId="1F7552BA" w14:textId="77777777" w:rsidR="00961436" w:rsidRDefault="00961436" w:rsidP="00961436">
      <w:pPr>
        <w:ind w:left="720"/>
      </w:pPr>
      <w:r>
        <w:t>The field of Bannockburn – the hold where glorious Bruce set his standard. Here no Scot can pass uninterested. I fancy to myself that I see my gallant, heroic countrymen coming o’er the hill and down upon the plunders of their country, the murders of their fathers; noble revenge, and just hate, glowing in every vein, striding more and more eagerly as they approach the oppressive, insulting, blood-thirsty foe! I see them meet in glorious-</w:t>
      </w:r>
      <w:r>
        <w:lastRenderedPageBreak/>
        <w:t>triumphant congratulation on their victorious field, exalting in their heroic royal leaders, and rescued liberty and independence!</w:t>
      </w:r>
      <w:r>
        <w:rPr>
          <w:rStyle w:val="FootnoteReference"/>
        </w:rPr>
        <w:footnoteReference w:id="93"/>
      </w:r>
    </w:p>
    <w:p w14:paraId="72F36C7A" w14:textId="77777777" w:rsidR="00961436" w:rsidRDefault="00961436" w:rsidP="00961436">
      <w:pPr>
        <w:ind w:left="720"/>
      </w:pPr>
    </w:p>
    <w:p w14:paraId="7F958C63" w14:textId="77777777" w:rsidR="00961436" w:rsidRDefault="00961436" w:rsidP="00961436">
      <w:pPr>
        <w:spacing w:line="480" w:lineRule="auto"/>
      </w:pPr>
      <w:r>
        <w:t>This section of his notes revealed Burns’ nationalist agenda in a few ways. For one, he once again set up a test for Scottish identity – “Here no Scot can pass uninterested.”</w:t>
      </w:r>
      <w:r>
        <w:rPr>
          <w:rStyle w:val="FootnoteReference"/>
        </w:rPr>
        <w:footnoteReference w:id="94"/>
      </w:r>
      <w:r>
        <w:t xml:space="preserve"> </w:t>
      </w:r>
      <w:proofErr w:type="gramStart"/>
      <w:r>
        <w:t>Similar to</w:t>
      </w:r>
      <w:proofErr w:type="gramEnd"/>
      <w:r>
        <w:t xml:space="preserve"> the example given above, this created a test for true </w:t>
      </w:r>
      <w:proofErr w:type="spellStart"/>
      <w:r>
        <w:t>Scottishness</w:t>
      </w:r>
      <w:proofErr w:type="spellEnd"/>
      <w:r>
        <w:t xml:space="preserve">. Additionally, </w:t>
      </w:r>
      <w:proofErr w:type="gramStart"/>
      <w:r>
        <w:t>Burns</w:t>
      </w:r>
      <w:proofErr w:type="gramEnd"/>
      <w:r>
        <w:t xml:space="preserve"> explicitly connected himself to the men who fought at Bannockburn by describing them as his countrymen. This word allowed him to draw a direct line from them to himself and more broadly to the entire Scottish nation. Similar to the songs he collected, </w:t>
      </w:r>
      <w:proofErr w:type="gramStart"/>
      <w:r>
        <w:t>Burns</w:t>
      </w:r>
      <w:proofErr w:type="gramEnd"/>
      <w:r>
        <w:t xml:space="preserve"> used a carefully curated history to construct a legacy of resistance and rebellion, especially through examples of martial defeat of the English. Lastly, </w:t>
      </w:r>
      <w:proofErr w:type="gramStart"/>
      <w:r>
        <w:t>Burns</w:t>
      </w:r>
      <w:proofErr w:type="gramEnd"/>
      <w:r>
        <w:t xml:space="preserve"> wrote of how the Battle of Bannockburn “rescued liberty and independence” for the Scottish nation. This connection was both an implicit argument for the positive nature both of those ideals for Scotland, and can be seen in part as a lamentation at their loss in Burns’ own time. Either way, he drew a connection between martial resistance against English incursion, Scottish identity, and liberty and independence. This view clearly influenced how he collected and presented songs. In fact, it is evident from his overall body of work that he collected and presented songs </w:t>
      </w:r>
      <w:proofErr w:type="gramStart"/>
      <w:r>
        <w:t>on the basis of</w:t>
      </w:r>
      <w:proofErr w:type="gramEnd"/>
      <w:r>
        <w:t xml:space="preserve"> the four factors above.</w:t>
      </w:r>
    </w:p>
    <w:p w14:paraId="2737ACC6" w14:textId="77777777" w:rsidR="00961436" w:rsidRDefault="00961436" w:rsidP="00961436">
      <w:pPr>
        <w:spacing w:line="480" w:lineRule="auto"/>
      </w:pPr>
      <w:r>
        <w:tab/>
      </w:r>
      <w:proofErr w:type="gramStart"/>
      <w:r>
        <w:t>In regards to</w:t>
      </w:r>
      <w:proofErr w:type="gramEnd"/>
      <w:r>
        <w:t xml:space="preserve"> more recent anti-English resistance, that of the </w:t>
      </w:r>
      <w:proofErr w:type="spellStart"/>
      <w:r>
        <w:t>Jacobites</w:t>
      </w:r>
      <w:proofErr w:type="spellEnd"/>
      <w:r>
        <w:t xml:space="preserve">, Burns also did not disguise his views. He asserted that “the </w:t>
      </w:r>
      <w:proofErr w:type="spellStart"/>
      <w:r>
        <w:t>Scotish</w:t>
      </w:r>
      <w:proofErr w:type="spellEnd"/>
      <w:r>
        <w:t xml:space="preserve"> [sic] Muses were all </w:t>
      </w:r>
      <w:proofErr w:type="spellStart"/>
      <w:r>
        <w:t>Jacobites</w:t>
      </w:r>
      <w:proofErr w:type="spellEnd"/>
      <w:r>
        <w:t>.”</w:t>
      </w:r>
      <w:r>
        <w:rPr>
          <w:rStyle w:val="FootnoteReference"/>
        </w:rPr>
        <w:footnoteReference w:id="95"/>
      </w:r>
      <w:r>
        <w:t xml:space="preserve"> He then went on to write, “And sure the gallant though unfortunate house of Stewart, the kings of our fathers for so many heroic ages, is a theme much more interesting than an obscure beef-witted insolent race of foreigners whom conjecture of circumstances </w:t>
      </w:r>
      <w:proofErr w:type="spellStart"/>
      <w:r>
        <w:t>kickt</w:t>
      </w:r>
      <w:proofErr w:type="spellEnd"/>
      <w:r>
        <w:t xml:space="preserve"> [sic] up into power and </w:t>
      </w:r>
      <w:r>
        <w:lastRenderedPageBreak/>
        <w:t>consequence.”</w:t>
      </w:r>
      <w:r>
        <w:rPr>
          <w:rStyle w:val="FootnoteReference"/>
        </w:rPr>
        <w:footnoteReference w:id="96"/>
      </w:r>
      <w:r>
        <w:t xml:space="preserve"> These words directly attacked King George III and the way his line came to the throne – the Glorious Revolution. Burns’ allegiance to the Jacobite cause informed his attention to collecting songs about the Jacobite uprisings and spending time explaining them in his collections. Through this focus on the Jacobite rebellions and popular memory of them in song, </w:t>
      </w:r>
      <w:proofErr w:type="gramStart"/>
      <w:r>
        <w:t>Burns</w:t>
      </w:r>
      <w:proofErr w:type="gramEnd"/>
      <w:r>
        <w:t xml:space="preserve"> made an implicit argument that the events of the rebellions were a key part of Scottish history. His focus on “our fathers,” or the direct ancestors of contemporary Scots, and their loyalty to the house of Stewart also placed </w:t>
      </w:r>
      <w:proofErr w:type="spellStart"/>
      <w:r>
        <w:t>Jacobitism</w:t>
      </w:r>
      <w:proofErr w:type="spellEnd"/>
      <w:r>
        <w:t xml:space="preserve"> at the heart of Burns’ vision of Scottish identity.</w:t>
      </w:r>
    </w:p>
    <w:p w14:paraId="1DEBF6AF" w14:textId="77777777" w:rsidR="00961436" w:rsidRPr="007C11DB" w:rsidRDefault="00961436" w:rsidP="00961436">
      <w:pPr>
        <w:spacing w:line="480" w:lineRule="auto"/>
      </w:pPr>
      <w:r>
        <w:tab/>
        <w:t>Both the folk songs and the collectors who published them actively engaged in the construction of a Scottish national identity around a legacy of martial rebellion against English incursion. This focus came from the circumstance of the time in which the identity was being constructed – in direct opposition to English identity and in the context of the Treaty of Union and the creation of the Great Britain. Though these events occurred decades before Burns’ time, their legacy continued to impact the development of Scotland and resound in a Scottish consciousness. In addition to a focus on opposition to English rule and a constructed tradition of rebellion, collectors utilized folk culture to unify identity between the Highlanders and Lowlanders, creating a multi-layered construction of identity in Scotland in the mid-nineteenth century.</w:t>
      </w:r>
    </w:p>
    <w:p w14:paraId="00634762" w14:textId="77777777" w:rsidR="00961436" w:rsidRPr="00B25F1D" w:rsidRDefault="00961436" w:rsidP="00961436">
      <w:pPr>
        <w:spacing w:line="480" w:lineRule="auto"/>
        <w:rPr>
          <w:b/>
        </w:rPr>
      </w:pPr>
      <w:r w:rsidRPr="00B25F1D">
        <w:rPr>
          <w:b/>
        </w:rPr>
        <w:t>Korea</w:t>
      </w:r>
    </w:p>
    <w:p w14:paraId="7BB629BA" w14:textId="77777777" w:rsidR="00961436" w:rsidRDefault="00961436" w:rsidP="00961436">
      <w:pPr>
        <w:spacing w:line="480" w:lineRule="auto"/>
      </w:pPr>
      <w:r>
        <w:tab/>
        <w:t xml:space="preserve">On the border between Korea and China, rebel groups waged guerrilla warfare against Japanese forces in the 1930s and early 1940s. Many of these rebels, like most militant groups, sang songs, some detailing their accomplishments or the successes of their leaders. Many of </w:t>
      </w:r>
      <w:r>
        <w:lastRenderedPageBreak/>
        <w:t xml:space="preserve">these songs were </w:t>
      </w:r>
      <w:proofErr w:type="spellStart"/>
      <w:r>
        <w:rPr>
          <w:i/>
        </w:rPr>
        <w:t>arirangs</w:t>
      </w:r>
      <w:proofErr w:type="spellEnd"/>
      <w:r>
        <w:t xml:space="preserve">, a form of Korean folk songs. This section explores the way nationalists linked folk culture with resistance in colonial Korea. </w:t>
      </w:r>
      <w:proofErr w:type="gramStart"/>
      <w:r>
        <w:t>In particular, the</w:t>
      </w:r>
      <w:proofErr w:type="gramEnd"/>
      <w:r>
        <w:t xml:space="preserve"> section covers the 1920s and 1930s in Korea, under Japanese rule. During this time, cultural rule was in force. Because of the weakening of censorship standards, newspapers and journals published conversations and research about Korean identity. It was also during this time that research on Korean folk culture, by both Japanese and Korean intellectuals, became prevalent.</w:t>
      </w:r>
    </w:p>
    <w:p w14:paraId="166BCE71" w14:textId="77777777" w:rsidR="00961436" w:rsidRDefault="00961436" w:rsidP="00961436">
      <w:pPr>
        <w:spacing w:line="480" w:lineRule="auto"/>
      </w:pPr>
      <w:r>
        <w:tab/>
        <w:t xml:space="preserve">During the 1920s and 1930s, the Government General of Korea (GGK) funded multiple projects to research the folk culture of Korea. These researchers and their departments were tasked to understand Korean folk culture so it “could be used for the assimilation policy expressed in </w:t>
      </w:r>
      <w:proofErr w:type="spellStart"/>
      <w:r>
        <w:rPr>
          <w:i/>
        </w:rPr>
        <w:t>naisen</w:t>
      </w:r>
      <w:proofErr w:type="spellEnd"/>
      <w:r>
        <w:rPr>
          <w:i/>
        </w:rPr>
        <w:t xml:space="preserve"> </w:t>
      </w:r>
      <w:proofErr w:type="spellStart"/>
      <w:r>
        <w:rPr>
          <w:i/>
        </w:rPr>
        <w:t>ittai</w:t>
      </w:r>
      <w:proofErr w:type="spellEnd"/>
      <w:r>
        <w:t>.”</w:t>
      </w:r>
      <w:r>
        <w:rPr>
          <w:rStyle w:val="FootnoteReference"/>
        </w:rPr>
        <w:footnoteReference w:id="97"/>
      </w:r>
      <w:r>
        <w:t xml:space="preserve"> </w:t>
      </w:r>
      <w:proofErr w:type="spellStart"/>
      <w:r>
        <w:rPr>
          <w:i/>
        </w:rPr>
        <w:t>Naisen</w:t>
      </w:r>
      <w:proofErr w:type="spellEnd"/>
      <w:r>
        <w:rPr>
          <w:i/>
        </w:rPr>
        <w:t xml:space="preserve"> </w:t>
      </w:r>
      <w:proofErr w:type="spellStart"/>
      <w:r>
        <w:rPr>
          <w:i/>
        </w:rPr>
        <w:t>ittai</w:t>
      </w:r>
      <w:proofErr w:type="spellEnd"/>
      <w:r>
        <w:t xml:space="preserve"> was the Japanese imperial policy that asserted the belief that Japanese and Koreans were related and therefore should be ruled together. According to </w:t>
      </w:r>
      <w:proofErr w:type="spellStart"/>
      <w:r>
        <w:t>Gi-Wook</w:t>
      </w:r>
      <w:proofErr w:type="spellEnd"/>
      <w:r>
        <w:t xml:space="preserve"> Shin, “The Japanese assimilation policy did not simply attempt to eradicate any notion of Korean identity; it attempted to create a new one.”</w:t>
      </w:r>
      <w:r>
        <w:rPr>
          <w:rStyle w:val="FootnoteReference"/>
        </w:rPr>
        <w:footnoteReference w:id="98"/>
      </w:r>
      <w:r>
        <w:t xml:space="preserve"> The GGK planned to use the research generated to prove that Korean and Japanese cultures did not differ dramatically, thus proving their claims underlying the assimilation policy and justifying Japanese rule. </w:t>
      </w:r>
      <w:proofErr w:type="gramStart"/>
      <w:r>
        <w:t>A number of</w:t>
      </w:r>
      <w:proofErr w:type="gramEnd"/>
      <w:r>
        <w:t xml:space="preserve"> Korean intellectuals recognized this aim and strove to use their own research to counteract Japanese research and claims. </w:t>
      </w:r>
    </w:p>
    <w:p w14:paraId="40DB8F4E" w14:textId="77777777" w:rsidR="00961436" w:rsidRDefault="00961436" w:rsidP="00961436">
      <w:pPr>
        <w:spacing w:line="480" w:lineRule="auto"/>
      </w:pPr>
      <w:r>
        <w:tab/>
        <w:t xml:space="preserve">Many Korean scholars focused on directly contradicting the assertions of Japanese intellectuals, whose work supported Japanese colonial ambitions. One such scholar was </w:t>
      </w:r>
      <w:proofErr w:type="spellStart"/>
      <w:r>
        <w:t>Ch’oe</w:t>
      </w:r>
      <w:proofErr w:type="spellEnd"/>
      <w:r>
        <w:t xml:space="preserve"> Nam-</w:t>
      </w:r>
      <w:proofErr w:type="spellStart"/>
      <w:r>
        <w:t>sōn</w:t>
      </w:r>
      <w:proofErr w:type="spellEnd"/>
      <w:r>
        <w:t xml:space="preserve">, who published extensively on the </w:t>
      </w:r>
      <w:proofErr w:type="spellStart"/>
      <w:r>
        <w:t>Purham</w:t>
      </w:r>
      <w:proofErr w:type="spellEnd"/>
      <w:r>
        <w:t xml:space="preserve"> Civilization and </w:t>
      </w:r>
      <w:proofErr w:type="spellStart"/>
      <w:r>
        <w:t>Tan’gun</w:t>
      </w:r>
      <w:proofErr w:type="spellEnd"/>
      <w:r>
        <w:t xml:space="preserve">, the mythic founder of Korea, both to assert Korean uniqueness and to fight against work by Japanese </w:t>
      </w:r>
      <w:r>
        <w:lastRenderedPageBreak/>
        <w:t>historians publishing on Korean history.</w:t>
      </w:r>
      <w:r>
        <w:rPr>
          <w:rStyle w:val="FootnoteReference"/>
        </w:rPr>
        <w:footnoteReference w:id="99"/>
      </w:r>
      <w:r>
        <w:t xml:space="preserve"> His refutation involved glorifying not just </w:t>
      </w:r>
      <w:proofErr w:type="spellStart"/>
      <w:r>
        <w:t>Tan’gun</w:t>
      </w:r>
      <w:proofErr w:type="spellEnd"/>
      <w:r>
        <w:t xml:space="preserve">, but also the folk customs that </w:t>
      </w:r>
      <w:proofErr w:type="spellStart"/>
      <w:r>
        <w:t>Ch’oe</w:t>
      </w:r>
      <w:proofErr w:type="spellEnd"/>
      <w:r>
        <w:t xml:space="preserve"> speculated originated during the reign of </w:t>
      </w:r>
      <w:proofErr w:type="spellStart"/>
      <w:r>
        <w:t>Tan’gun</w:t>
      </w:r>
      <w:proofErr w:type="spellEnd"/>
      <w:r>
        <w:t xml:space="preserve"> and his civilization. For </w:t>
      </w:r>
      <w:proofErr w:type="spellStart"/>
      <w:r>
        <w:t>Ch’oe</w:t>
      </w:r>
      <w:proofErr w:type="spellEnd"/>
      <w:r>
        <w:t>, “</w:t>
      </w:r>
      <w:proofErr w:type="spellStart"/>
      <w:r>
        <w:t>Tan’gun</w:t>
      </w:r>
      <w:proofErr w:type="spellEnd"/>
      <w:r>
        <w:t xml:space="preserve"> was the source from which the spirit of </w:t>
      </w:r>
      <w:proofErr w:type="spellStart"/>
      <w:r>
        <w:t>Chosōn</w:t>
      </w:r>
      <w:proofErr w:type="spellEnd"/>
      <w:r>
        <w:t xml:space="preserve"> [Korea] flowed.”</w:t>
      </w:r>
      <w:r>
        <w:rPr>
          <w:rStyle w:val="FootnoteReference"/>
        </w:rPr>
        <w:footnoteReference w:id="100"/>
      </w:r>
      <w:r>
        <w:t xml:space="preserve"> Through his historical work, </w:t>
      </w:r>
      <w:proofErr w:type="spellStart"/>
      <w:r>
        <w:t>Ch’oe</w:t>
      </w:r>
      <w:proofErr w:type="spellEnd"/>
      <w:r>
        <w:t xml:space="preserve"> emphasized the importance of looking to the past for the foundation for Korean identity. Additionally, he placed an emphasis on the use of folk culture to understand how that legacy was transmitted to modern Korea. His work on folk music expanded on this foundation.</w:t>
      </w:r>
    </w:p>
    <w:p w14:paraId="42157D66" w14:textId="77777777" w:rsidR="00961436" w:rsidRDefault="00961436" w:rsidP="00961436">
      <w:pPr>
        <w:spacing w:line="480" w:lineRule="auto"/>
      </w:pPr>
      <w:r>
        <w:tab/>
        <w:t xml:space="preserve">Along with his historical studies, </w:t>
      </w:r>
      <w:proofErr w:type="spellStart"/>
      <w:r>
        <w:t>Ch’oe</w:t>
      </w:r>
      <w:proofErr w:type="spellEnd"/>
      <w:r>
        <w:t xml:space="preserve"> focused on reviving and expanding the use of </w:t>
      </w:r>
      <w:proofErr w:type="spellStart"/>
      <w:r>
        <w:rPr>
          <w:i/>
        </w:rPr>
        <w:t>sijo</w:t>
      </w:r>
      <w:proofErr w:type="spellEnd"/>
      <w:r>
        <w:t xml:space="preserve">, a form of poetry originating in Korea. His explicit goal was “to transform </w:t>
      </w:r>
      <w:proofErr w:type="spellStart"/>
      <w:r>
        <w:rPr>
          <w:i/>
        </w:rPr>
        <w:t>sijo</w:t>
      </w:r>
      <w:proofErr w:type="spellEnd"/>
      <w:r>
        <w:t xml:space="preserve"> into a modern form befitting a vessel for the </w:t>
      </w:r>
      <w:proofErr w:type="spellStart"/>
      <w:r>
        <w:t>Chosōn</w:t>
      </w:r>
      <w:proofErr w:type="spellEnd"/>
      <w:r>
        <w:t xml:space="preserve"> spirit.”</w:t>
      </w:r>
      <w:r>
        <w:rPr>
          <w:rStyle w:val="FootnoteReference"/>
        </w:rPr>
        <w:footnoteReference w:id="101"/>
      </w:r>
      <w:r>
        <w:t xml:space="preserve"> He believed </w:t>
      </w:r>
      <w:proofErr w:type="spellStart"/>
      <w:r>
        <w:rPr>
          <w:i/>
        </w:rPr>
        <w:t>sijo</w:t>
      </w:r>
      <w:proofErr w:type="spellEnd"/>
      <w:r>
        <w:t>, a form of poetry typically sung by the lower classes, was the perfect way to inspire a national identity in the Korean people.</w:t>
      </w:r>
      <w:r>
        <w:rPr>
          <w:rStyle w:val="FootnoteReference"/>
        </w:rPr>
        <w:footnoteReference w:id="102"/>
      </w:r>
      <w:r>
        <w:t xml:space="preserve"> </w:t>
      </w:r>
      <w:proofErr w:type="spellStart"/>
      <w:r>
        <w:t>Ch’oe</w:t>
      </w:r>
      <w:proofErr w:type="spellEnd"/>
      <w:r>
        <w:t xml:space="preserve"> himself used </w:t>
      </w:r>
      <w:proofErr w:type="spellStart"/>
      <w:r>
        <w:rPr>
          <w:i/>
        </w:rPr>
        <w:t>sijo</w:t>
      </w:r>
      <w:proofErr w:type="spellEnd"/>
      <w:r>
        <w:t xml:space="preserve"> to express his feelings about Japanese rule in Korea:</w:t>
      </w:r>
    </w:p>
    <w:p w14:paraId="4D7898A2" w14:textId="77777777" w:rsidR="00961436" w:rsidRDefault="00961436" w:rsidP="00961436">
      <w:r>
        <w:tab/>
        <w:t>I wrap and rewrap the glass bead I treasure deeply.</w:t>
      </w:r>
    </w:p>
    <w:p w14:paraId="26844BE1" w14:textId="77777777" w:rsidR="00961436" w:rsidRDefault="00961436" w:rsidP="00961436">
      <w:r>
        <w:tab/>
        <w:t>For its chips and stains, my beloved would never chide me,</w:t>
      </w:r>
    </w:p>
    <w:p w14:paraId="3C5FC617" w14:textId="77777777" w:rsidR="00961436" w:rsidRDefault="00961436" w:rsidP="00961436">
      <w:pPr>
        <w:spacing w:line="480" w:lineRule="auto"/>
      </w:pPr>
      <w:r>
        <w:tab/>
        <w:t>But when I present it to her, I would like it to be whole.</w:t>
      </w:r>
      <w:r>
        <w:rPr>
          <w:rStyle w:val="FootnoteReference"/>
        </w:rPr>
        <w:footnoteReference w:id="103"/>
      </w:r>
    </w:p>
    <w:p w14:paraId="413F218B" w14:textId="77777777" w:rsidR="00961436" w:rsidRDefault="00961436" w:rsidP="00961436">
      <w:pPr>
        <w:spacing w:line="480" w:lineRule="auto"/>
      </w:pPr>
      <w:r>
        <w:t xml:space="preserve">When </w:t>
      </w:r>
      <w:proofErr w:type="spellStart"/>
      <w:r>
        <w:t>Ch’oe</w:t>
      </w:r>
      <w:proofErr w:type="spellEnd"/>
      <w:r>
        <w:t xml:space="preserve"> used ‘beloved’ in this poem, it was widely understood that he referred to Korea.</w:t>
      </w:r>
      <w:r>
        <w:rPr>
          <w:rStyle w:val="FootnoteReference"/>
        </w:rPr>
        <w:footnoteReference w:id="104"/>
      </w:r>
      <w:r>
        <w:t xml:space="preserve"> This poem was his promise to the Korean people that he would work tirelessly to restore independence and sovereignty to Korea and to struggle against the Japanese colonial government. This </w:t>
      </w:r>
      <w:proofErr w:type="spellStart"/>
      <w:r>
        <w:rPr>
          <w:i/>
        </w:rPr>
        <w:t>sijo</w:t>
      </w:r>
      <w:proofErr w:type="spellEnd"/>
      <w:r>
        <w:t xml:space="preserve"> is an excellent example of the way </w:t>
      </w:r>
      <w:proofErr w:type="spellStart"/>
      <w:r>
        <w:t>Ch’oe</w:t>
      </w:r>
      <w:proofErr w:type="spellEnd"/>
      <w:r>
        <w:t xml:space="preserve"> emphasized Korean traditional arts and utilized them to communicate a message of resistance. </w:t>
      </w:r>
    </w:p>
    <w:p w14:paraId="2DF6AC63" w14:textId="77777777" w:rsidR="00961436" w:rsidRDefault="00961436" w:rsidP="00961436">
      <w:pPr>
        <w:spacing w:line="480" w:lineRule="auto"/>
      </w:pPr>
      <w:r>
        <w:lastRenderedPageBreak/>
        <w:tab/>
      </w:r>
      <w:proofErr w:type="spellStart"/>
      <w:r>
        <w:t>Chōng</w:t>
      </w:r>
      <w:proofErr w:type="spellEnd"/>
      <w:r>
        <w:t xml:space="preserve"> </w:t>
      </w:r>
      <w:proofErr w:type="spellStart"/>
      <w:r>
        <w:t>Inbo</w:t>
      </w:r>
      <w:proofErr w:type="spellEnd"/>
      <w:r>
        <w:t xml:space="preserve"> expressed similar views to those of </w:t>
      </w:r>
      <w:proofErr w:type="spellStart"/>
      <w:r>
        <w:t>Ch’oe</w:t>
      </w:r>
      <w:proofErr w:type="spellEnd"/>
      <w:r>
        <w:t xml:space="preserve">. </w:t>
      </w:r>
      <w:proofErr w:type="spellStart"/>
      <w:r>
        <w:t>Chōng</w:t>
      </w:r>
      <w:proofErr w:type="spellEnd"/>
      <w:r>
        <w:t xml:space="preserve"> focused on his concept of </w:t>
      </w:r>
      <w:proofErr w:type="spellStart"/>
      <w:r>
        <w:rPr>
          <w:i/>
        </w:rPr>
        <w:t>ōl</w:t>
      </w:r>
      <w:proofErr w:type="spellEnd"/>
      <w:r>
        <w:t>, or the soul of the nation.</w:t>
      </w:r>
      <w:r>
        <w:rPr>
          <w:rStyle w:val="FootnoteReference"/>
        </w:rPr>
        <w:footnoteReference w:id="105"/>
      </w:r>
      <w:r>
        <w:t xml:space="preserve"> </w:t>
      </w:r>
      <w:proofErr w:type="spellStart"/>
      <w:r>
        <w:t>Chōng</w:t>
      </w:r>
      <w:proofErr w:type="spellEnd"/>
      <w:r>
        <w:t xml:space="preserve"> believed that the rediscovery of </w:t>
      </w:r>
      <w:proofErr w:type="spellStart"/>
      <w:r>
        <w:rPr>
          <w:i/>
        </w:rPr>
        <w:t>ōl</w:t>
      </w:r>
      <w:proofErr w:type="spellEnd"/>
      <w:r>
        <w:t xml:space="preserve"> was essential to the restoration of the Korean nation, and that participation in folk music and dance was central to the restoration of </w:t>
      </w:r>
      <w:proofErr w:type="spellStart"/>
      <w:r>
        <w:rPr>
          <w:i/>
        </w:rPr>
        <w:t>ōl</w:t>
      </w:r>
      <w:proofErr w:type="spellEnd"/>
      <w:r>
        <w:t xml:space="preserve">. As he wrote, “If, in the middle of singing, dancing, wailing, or shedding tears, we suddenly turn and look back and we see the presence of </w:t>
      </w:r>
      <w:proofErr w:type="spellStart"/>
      <w:r>
        <w:rPr>
          <w:i/>
        </w:rPr>
        <w:t>ōl</w:t>
      </w:r>
      <w:proofErr w:type="spellEnd"/>
      <w:r>
        <w:t>.”</w:t>
      </w:r>
      <w:r>
        <w:rPr>
          <w:rStyle w:val="FootnoteReference"/>
        </w:rPr>
        <w:footnoteReference w:id="106"/>
      </w:r>
      <w:r>
        <w:t xml:space="preserve"> </w:t>
      </w:r>
      <w:proofErr w:type="gramStart"/>
      <w:r>
        <w:t>Similar to</w:t>
      </w:r>
      <w:proofErr w:type="gramEnd"/>
      <w:r>
        <w:t xml:space="preserve"> </w:t>
      </w:r>
      <w:proofErr w:type="spellStart"/>
      <w:r>
        <w:t>Ch’oe</w:t>
      </w:r>
      <w:proofErr w:type="spellEnd"/>
      <w:r>
        <w:t xml:space="preserve">, </w:t>
      </w:r>
      <w:proofErr w:type="spellStart"/>
      <w:r>
        <w:t>Chōng</w:t>
      </w:r>
      <w:proofErr w:type="spellEnd"/>
      <w:r>
        <w:t xml:space="preserve"> saw participation in folk music and dance as essential to rediscovering the spirit of the Korean nation, which must be the foundation for the restoration of an independent and sovereign Korea. Both </w:t>
      </w:r>
      <w:proofErr w:type="spellStart"/>
      <w:r>
        <w:t>Ch’oe’s</w:t>
      </w:r>
      <w:proofErr w:type="spellEnd"/>
      <w:r>
        <w:t xml:space="preserve"> and </w:t>
      </w:r>
      <w:proofErr w:type="spellStart"/>
      <w:r>
        <w:t>Chōng’s</w:t>
      </w:r>
      <w:proofErr w:type="spellEnd"/>
      <w:r>
        <w:t xml:space="preserve"> work complemented the work of other scholars who focused on specific forms of folk music and their use as forms of resistance to colonialism. For them, folk music was a productive area of study because of its history of subversion.</w:t>
      </w:r>
    </w:p>
    <w:p w14:paraId="6B40121A" w14:textId="77777777" w:rsidR="00961436" w:rsidRDefault="00961436" w:rsidP="00961436">
      <w:pPr>
        <w:spacing w:line="480" w:lineRule="auto"/>
      </w:pPr>
      <w:r>
        <w:tab/>
        <w:t xml:space="preserve">One art form known for its history of subversion, even before Japanese rule, is </w:t>
      </w:r>
      <w:proofErr w:type="spellStart"/>
      <w:r w:rsidRPr="00384102">
        <w:rPr>
          <w:i/>
        </w:rPr>
        <w:t>p’ansori</w:t>
      </w:r>
      <w:proofErr w:type="spellEnd"/>
      <w:r>
        <w:t>, a form of narrative storytelling sung by a single performer who represents multiple characters throughout the piece.</w:t>
      </w:r>
      <w:r>
        <w:rPr>
          <w:rStyle w:val="FootnoteReference"/>
        </w:rPr>
        <w:footnoteReference w:id="107"/>
      </w:r>
      <w:r>
        <w:t xml:space="preserve"> Many </w:t>
      </w:r>
      <w:proofErr w:type="spellStart"/>
      <w:r w:rsidRPr="007862A1">
        <w:rPr>
          <w:i/>
        </w:rPr>
        <w:t>p’ansori</w:t>
      </w:r>
      <w:proofErr w:type="spellEnd"/>
      <w:r>
        <w:t xml:space="preserve">, like most Korean folk songs, were used to make social commentary usually targeted at the </w:t>
      </w:r>
      <w:r>
        <w:rPr>
          <w:i/>
        </w:rPr>
        <w:t>yangban</w:t>
      </w:r>
      <w:r>
        <w:t xml:space="preserve"> or elite class.</w:t>
      </w:r>
      <w:r>
        <w:rPr>
          <w:rStyle w:val="FootnoteReference"/>
        </w:rPr>
        <w:footnoteReference w:id="108"/>
      </w:r>
      <w:r>
        <w:t xml:space="preserve"> One famous </w:t>
      </w:r>
      <w:proofErr w:type="spellStart"/>
      <w:r w:rsidRPr="007862A1">
        <w:rPr>
          <w:i/>
        </w:rPr>
        <w:t>p’ansori</w:t>
      </w:r>
      <w:proofErr w:type="spellEnd"/>
      <w:r>
        <w:t xml:space="preserve">, </w:t>
      </w:r>
      <w:r>
        <w:rPr>
          <w:i/>
        </w:rPr>
        <w:t xml:space="preserve">The Song of a Faithful Wife, </w:t>
      </w:r>
      <w:proofErr w:type="spellStart"/>
      <w:r>
        <w:rPr>
          <w:i/>
        </w:rPr>
        <w:t>Ch’unhyang</w:t>
      </w:r>
      <w:proofErr w:type="spellEnd"/>
      <w:r>
        <w:t xml:space="preserve"> told the story of a woman, </w:t>
      </w:r>
      <w:proofErr w:type="spellStart"/>
      <w:r>
        <w:t>Ch’unhyang</w:t>
      </w:r>
      <w:proofErr w:type="spellEnd"/>
      <w:r>
        <w:t>, who became the victim of a vicious and corrupt governor because she refused to betray her husband. While the story communicated principles of how a righteous woman should behave, it also made a pointed commentary on government and the elite classes. As one part of the song lamented,</w:t>
      </w:r>
    </w:p>
    <w:p w14:paraId="14035BDF" w14:textId="77777777" w:rsidR="00961436" w:rsidRDefault="00961436" w:rsidP="00961436">
      <w:r>
        <w:tab/>
        <w:t>The governor is father of the people,</w:t>
      </w:r>
    </w:p>
    <w:p w14:paraId="5FE82731" w14:textId="77777777" w:rsidR="00961436" w:rsidRDefault="00961436" w:rsidP="00961436">
      <w:r>
        <w:lastRenderedPageBreak/>
        <w:tab/>
        <w:t>But he ignores the four social classes;</w:t>
      </w:r>
    </w:p>
    <w:p w14:paraId="683470F1" w14:textId="77777777" w:rsidR="00961436" w:rsidRDefault="00961436" w:rsidP="00961436">
      <w:r>
        <w:tab/>
        <w:t>He rules by force and power</w:t>
      </w:r>
    </w:p>
    <w:p w14:paraId="3EDDCE34" w14:textId="77777777" w:rsidR="00961436" w:rsidRDefault="00961436" w:rsidP="00961436">
      <w:r>
        <w:tab/>
        <w:t>And has no love for the people</w:t>
      </w:r>
    </w:p>
    <w:p w14:paraId="5E3C7602" w14:textId="77777777" w:rsidR="00961436" w:rsidRDefault="00961436" w:rsidP="00961436">
      <w:pPr>
        <w:spacing w:line="480" w:lineRule="auto"/>
      </w:pPr>
      <w:r>
        <w:tab/>
        <w:t xml:space="preserve">In the forty-eight quarters of </w:t>
      </w:r>
      <w:proofErr w:type="spellStart"/>
      <w:r>
        <w:t>Namwon</w:t>
      </w:r>
      <w:proofErr w:type="spellEnd"/>
      <w:r>
        <w:t>.</w:t>
      </w:r>
      <w:r>
        <w:rPr>
          <w:rStyle w:val="FootnoteReference"/>
        </w:rPr>
        <w:footnoteReference w:id="109"/>
      </w:r>
    </w:p>
    <w:p w14:paraId="508811C1" w14:textId="77777777" w:rsidR="00961436" w:rsidRPr="00B803B2" w:rsidRDefault="00961436" w:rsidP="00961436">
      <w:pPr>
        <w:spacing w:line="480" w:lineRule="auto"/>
      </w:pPr>
      <w:r>
        <w:t xml:space="preserve">This kind of pointed social commentary was common throughout </w:t>
      </w:r>
      <w:proofErr w:type="spellStart"/>
      <w:r w:rsidRPr="007862A1">
        <w:rPr>
          <w:i/>
        </w:rPr>
        <w:t>p’ansori</w:t>
      </w:r>
      <w:proofErr w:type="spellEnd"/>
      <w:r>
        <w:t xml:space="preserve">. Through the glorification of this form of folk culture, nationalists worked to bring together two separate groups in Korea at the time, the </w:t>
      </w:r>
      <w:r>
        <w:rPr>
          <w:i/>
        </w:rPr>
        <w:t>yangban</w:t>
      </w:r>
      <w:r>
        <w:t>, or elites, and the peasants and poor. By focusing on forms of folk culture traditionally associated with the peasants, claiming them as a legacy for all of Korea, and deploying them as tools against Japanese rule, nationalists brought the two groups together. Drawing on a common theme of resistance and subversion and in contrast to the attack on Korean folk culture from Japanese scholars working in the interest of the colonial state, many Korean scholars chose to focus on folk culture to both undermine the goals of the colonial state and construct a Korean identity for utilization in a nationalist agenda.</w:t>
      </w:r>
    </w:p>
    <w:p w14:paraId="0F1DE997" w14:textId="77777777" w:rsidR="00961436" w:rsidRDefault="00961436" w:rsidP="00961436">
      <w:pPr>
        <w:spacing w:line="480" w:lineRule="auto"/>
      </w:pPr>
      <w:r>
        <w:tab/>
        <w:t xml:space="preserve">Many ethnographers embarked on similar scholarly pursuits as </w:t>
      </w:r>
      <w:proofErr w:type="spellStart"/>
      <w:r>
        <w:t>Ch’oe</w:t>
      </w:r>
      <w:proofErr w:type="spellEnd"/>
      <w:r>
        <w:t xml:space="preserve"> in the 1920s and 1930s. As Michael E. Robinson outlines, these scholars used folk culture “as part of a movement to revive and codify specifically Korean traditions in the face of Japanese cultural assimilation.”</w:t>
      </w:r>
      <w:r>
        <w:rPr>
          <w:rStyle w:val="FootnoteReference"/>
        </w:rPr>
        <w:footnoteReference w:id="110"/>
      </w:r>
      <w:r>
        <w:t xml:space="preserve"> Through this research, scholars hoped to find symbols of national identity which could, in turn, be used to unify the nation against Japanese rule.</w:t>
      </w:r>
      <w:r>
        <w:rPr>
          <w:rStyle w:val="FootnoteReference"/>
        </w:rPr>
        <w:footnoteReference w:id="111"/>
      </w:r>
      <w:r>
        <w:t xml:space="preserve"> In the course of this project, certain forms of art were identified as forms of resistance to colonial rule.</w:t>
      </w:r>
      <w:r>
        <w:rPr>
          <w:rStyle w:val="FootnoteReference"/>
        </w:rPr>
        <w:footnoteReference w:id="112"/>
      </w:r>
      <w:r>
        <w:t xml:space="preserve"> One such art form was the extremely famous </w:t>
      </w:r>
      <w:proofErr w:type="spellStart"/>
      <w:r w:rsidRPr="00B1157E">
        <w:rPr>
          <w:i/>
        </w:rPr>
        <w:t>arirang</w:t>
      </w:r>
      <w:proofErr w:type="spellEnd"/>
      <w:r>
        <w:t>, a style of folk song with regional variations throughout Korea.</w:t>
      </w:r>
    </w:p>
    <w:p w14:paraId="0996FC7B" w14:textId="77777777" w:rsidR="00961436" w:rsidRDefault="00961436" w:rsidP="00961436">
      <w:pPr>
        <w:spacing w:line="480" w:lineRule="auto"/>
      </w:pPr>
      <w:r>
        <w:lastRenderedPageBreak/>
        <w:tab/>
      </w:r>
      <w:proofErr w:type="spellStart"/>
      <w:r w:rsidRPr="00B1157E">
        <w:rPr>
          <w:i/>
        </w:rPr>
        <w:t>Arirang</w:t>
      </w:r>
      <w:proofErr w:type="spellEnd"/>
      <w:r>
        <w:t xml:space="preserve"> is often cited as an art form closely associated with resistance to Japanese rule. This association came from its use in the film </w:t>
      </w:r>
      <w:proofErr w:type="spellStart"/>
      <w:r>
        <w:rPr>
          <w:i/>
        </w:rPr>
        <w:t>Arirang</w:t>
      </w:r>
      <w:proofErr w:type="spellEnd"/>
      <w:r>
        <w:t>, shown first in Seoul in 1926. This film was widely acclaimed for its nationalist sentiment, because the main character suffered from the ongoing consequences of his torture at the hands of Japanese police after the March First Movement, in which he was assumed to have participated.</w:t>
      </w:r>
      <w:r>
        <w:rPr>
          <w:rStyle w:val="FootnoteReference"/>
        </w:rPr>
        <w:footnoteReference w:id="113"/>
      </w:r>
      <w:r>
        <w:t xml:space="preserve"> But the film was not unique, for there were multiple examples of </w:t>
      </w:r>
      <w:proofErr w:type="spellStart"/>
      <w:r w:rsidRPr="00B1157E">
        <w:rPr>
          <w:i/>
        </w:rPr>
        <w:t>arirangs</w:t>
      </w:r>
      <w:proofErr w:type="spellEnd"/>
      <w:r>
        <w:t xml:space="preserve"> with subversive messages. Some had more coded messages, </w:t>
      </w:r>
      <w:proofErr w:type="gramStart"/>
      <w:r>
        <w:t>in order to</w:t>
      </w:r>
      <w:proofErr w:type="gramEnd"/>
      <w:r>
        <w:t xml:space="preserve"> escape the censorship of the Japanese government:</w:t>
      </w:r>
    </w:p>
    <w:p w14:paraId="0060BE20" w14:textId="77777777" w:rsidR="00961436" w:rsidRDefault="00961436" w:rsidP="00961436">
      <w:r>
        <w:tab/>
      </w:r>
      <w:proofErr w:type="spellStart"/>
      <w:r>
        <w:t>Arirang</w:t>
      </w:r>
      <w:proofErr w:type="spellEnd"/>
      <w:r>
        <w:t xml:space="preserve">, </w:t>
      </w:r>
      <w:proofErr w:type="spellStart"/>
      <w:r>
        <w:t>arirang</w:t>
      </w:r>
      <w:proofErr w:type="spellEnd"/>
      <w:r>
        <w:t xml:space="preserve">, </w:t>
      </w:r>
      <w:proofErr w:type="spellStart"/>
      <w:r>
        <w:t>arariyo</w:t>
      </w:r>
      <w:proofErr w:type="spellEnd"/>
      <w:r>
        <w:t>.</w:t>
      </w:r>
    </w:p>
    <w:p w14:paraId="1A6A7106" w14:textId="77777777" w:rsidR="00961436" w:rsidRDefault="00961436" w:rsidP="00961436">
      <w:r>
        <w:tab/>
        <w:t>Friends, wake up from your shallow dream.</w:t>
      </w:r>
    </w:p>
    <w:p w14:paraId="007EAAC8" w14:textId="77777777" w:rsidR="00961436" w:rsidRDefault="00961436" w:rsidP="00961436">
      <w:r>
        <w:tab/>
        <w:t xml:space="preserve">The crimson sun is rising over </w:t>
      </w:r>
      <w:proofErr w:type="spellStart"/>
      <w:r>
        <w:t>Arirang</w:t>
      </w:r>
      <w:proofErr w:type="spellEnd"/>
      <w:r>
        <w:t xml:space="preserve"> Hill,</w:t>
      </w:r>
    </w:p>
    <w:p w14:paraId="166A73F6" w14:textId="77777777" w:rsidR="00961436" w:rsidRDefault="00961436" w:rsidP="00961436">
      <w:pPr>
        <w:spacing w:line="480" w:lineRule="auto"/>
      </w:pPr>
      <w:r>
        <w:tab/>
        <w:t>With two arms stretched wide.</w:t>
      </w:r>
      <w:r>
        <w:rPr>
          <w:rStyle w:val="FootnoteReference"/>
        </w:rPr>
        <w:footnoteReference w:id="114"/>
      </w:r>
    </w:p>
    <w:p w14:paraId="0CEF5DF9" w14:textId="77777777" w:rsidR="00961436" w:rsidRDefault="00961436" w:rsidP="00961436">
      <w:pPr>
        <w:spacing w:line="480" w:lineRule="auto"/>
      </w:pPr>
      <w:r>
        <w:t xml:space="preserve">In this </w:t>
      </w:r>
      <w:proofErr w:type="spellStart"/>
      <w:r w:rsidRPr="00B1157E">
        <w:rPr>
          <w:i/>
        </w:rPr>
        <w:t>arirang</w:t>
      </w:r>
      <w:proofErr w:type="spellEnd"/>
      <w:r>
        <w:t xml:space="preserve">, the rising sun was a reference to Japan. The song implored the singer’s countrymen to wake up from their slumber, their complacency with Japanese rule, and recognize the dire situation of the country. The singer called for Koreans to fight against Japanese colonialism and for the Korean nation. Other </w:t>
      </w:r>
      <w:proofErr w:type="spellStart"/>
      <w:r w:rsidRPr="00BE2B05">
        <w:rPr>
          <w:i/>
        </w:rPr>
        <w:t>arirangs</w:t>
      </w:r>
      <w:proofErr w:type="spellEnd"/>
      <w:r>
        <w:t xml:space="preserve"> lamented the loss of Korean sovereignty:</w:t>
      </w:r>
    </w:p>
    <w:p w14:paraId="55F4D412" w14:textId="77777777" w:rsidR="00961436" w:rsidRDefault="00961436" w:rsidP="00961436">
      <w:r>
        <w:tab/>
        <w:t>Many stars in the deep sky – Many crimes in the life of a man</w:t>
      </w:r>
      <w:proofErr w:type="gramStart"/>
      <w:r>
        <w:t>. . . .</w:t>
      </w:r>
      <w:proofErr w:type="gramEnd"/>
      <w:r>
        <w:t xml:space="preserve"> </w:t>
      </w:r>
    </w:p>
    <w:p w14:paraId="2C788A2E" w14:textId="77777777" w:rsidR="00961436" w:rsidRDefault="00961436" w:rsidP="00961436">
      <w:r>
        <w:tab/>
      </w:r>
      <w:proofErr w:type="spellStart"/>
      <w:r>
        <w:t>Ariran</w:t>
      </w:r>
      <w:proofErr w:type="spellEnd"/>
      <w:r>
        <w:t xml:space="preserve"> is the mountain of sorrow</w:t>
      </w:r>
    </w:p>
    <w:p w14:paraId="2759CD98" w14:textId="77777777" w:rsidR="00961436" w:rsidRDefault="00961436" w:rsidP="00961436">
      <w:r>
        <w:tab/>
        <w:t xml:space="preserve">And the path to </w:t>
      </w:r>
      <w:proofErr w:type="spellStart"/>
      <w:r>
        <w:t>Ariran</w:t>
      </w:r>
      <w:proofErr w:type="spellEnd"/>
      <w:r>
        <w:t xml:space="preserve"> has no returning</w:t>
      </w:r>
      <w:proofErr w:type="gramStart"/>
      <w:r>
        <w:t>. . . .</w:t>
      </w:r>
      <w:proofErr w:type="gramEnd"/>
      <w:r>
        <w:t xml:space="preserve"> </w:t>
      </w:r>
    </w:p>
    <w:p w14:paraId="3B31139D" w14:textId="77777777" w:rsidR="00961436" w:rsidRDefault="00961436" w:rsidP="00961436">
      <w:r>
        <w:tab/>
        <w:t>Oh, twenty million countrymen – where are you now?</w:t>
      </w:r>
    </w:p>
    <w:p w14:paraId="64CA4E3E" w14:textId="77777777" w:rsidR="00961436" w:rsidRDefault="00961436" w:rsidP="00961436">
      <w:r>
        <w:tab/>
        <w:t>Alive are only three thousands li of mountains and rivers</w:t>
      </w:r>
      <w:proofErr w:type="gramStart"/>
      <w:r>
        <w:t>. . . .</w:t>
      </w:r>
      <w:proofErr w:type="gramEnd"/>
      <w:r>
        <w:t xml:space="preserve"> </w:t>
      </w:r>
    </w:p>
    <w:p w14:paraId="4028830E" w14:textId="77777777" w:rsidR="00961436" w:rsidRDefault="00961436" w:rsidP="00961436">
      <w:r>
        <w:tab/>
        <w:t>Now I am an exile crossing the Yalu River</w:t>
      </w:r>
    </w:p>
    <w:p w14:paraId="6D388474" w14:textId="77777777" w:rsidR="00961436" w:rsidRDefault="00961436" w:rsidP="00961436">
      <w:r>
        <w:tab/>
        <w:t>And the mountains and rivers of three thousand li are also lost.</w:t>
      </w:r>
    </w:p>
    <w:p w14:paraId="2C3E4436" w14:textId="77777777" w:rsidR="00961436" w:rsidRDefault="00961436" w:rsidP="00961436">
      <w:r>
        <w:tab/>
      </w:r>
      <w:proofErr w:type="spellStart"/>
      <w:r>
        <w:t>Ariran</w:t>
      </w:r>
      <w:proofErr w:type="spellEnd"/>
      <w:r>
        <w:t xml:space="preserve">, </w:t>
      </w:r>
      <w:proofErr w:type="spellStart"/>
      <w:r>
        <w:t>Arirang</w:t>
      </w:r>
      <w:proofErr w:type="spellEnd"/>
      <w:r>
        <w:t xml:space="preserve">, </w:t>
      </w:r>
      <w:proofErr w:type="spellStart"/>
      <w:r>
        <w:t>Arari</w:t>
      </w:r>
      <w:proofErr w:type="spellEnd"/>
      <w:r>
        <w:t xml:space="preserve"> O!</w:t>
      </w:r>
    </w:p>
    <w:p w14:paraId="6BCB9F03" w14:textId="77777777" w:rsidR="00961436" w:rsidRDefault="00961436" w:rsidP="00961436">
      <w:pPr>
        <w:spacing w:line="480" w:lineRule="auto"/>
      </w:pPr>
      <w:r>
        <w:tab/>
        <w:t xml:space="preserve">Crossing the hills of </w:t>
      </w:r>
      <w:proofErr w:type="spellStart"/>
      <w:r>
        <w:t>Ariran</w:t>
      </w:r>
      <w:proofErr w:type="spellEnd"/>
      <w:r>
        <w:t>.</w:t>
      </w:r>
      <w:r>
        <w:rPr>
          <w:rStyle w:val="FootnoteReference"/>
        </w:rPr>
        <w:footnoteReference w:id="115"/>
      </w:r>
    </w:p>
    <w:p w14:paraId="7DA0164B" w14:textId="77777777" w:rsidR="00961436" w:rsidRDefault="00961436" w:rsidP="00961436">
      <w:pPr>
        <w:spacing w:line="480" w:lineRule="auto"/>
      </w:pPr>
      <w:r>
        <w:t xml:space="preserve">This </w:t>
      </w:r>
      <w:proofErr w:type="spellStart"/>
      <w:r w:rsidRPr="002466ED">
        <w:rPr>
          <w:i/>
        </w:rPr>
        <w:t>arirang</w:t>
      </w:r>
      <w:proofErr w:type="spellEnd"/>
      <w:r>
        <w:t xml:space="preserve"> spoke of Korea’s colonial subjugation through the eyes of a refugee, leaving Korea, most likely for </w:t>
      </w:r>
      <w:proofErr w:type="spellStart"/>
      <w:r>
        <w:t>Kando</w:t>
      </w:r>
      <w:proofErr w:type="spellEnd"/>
      <w:r>
        <w:t xml:space="preserve">, or what is now known as Manchuria. As </w:t>
      </w:r>
      <w:proofErr w:type="spellStart"/>
      <w:r>
        <w:t>Ko</w:t>
      </w:r>
      <w:proofErr w:type="spellEnd"/>
      <w:r>
        <w:t xml:space="preserve"> Chun-</w:t>
      </w:r>
      <w:proofErr w:type="spellStart"/>
      <w:r>
        <w:t>sōk</w:t>
      </w:r>
      <w:proofErr w:type="spellEnd"/>
      <w:r>
        <w:t xml:space="preserve"> writes, “the </w:t>
      </w:r>
      <w:proofErr w:type="spellStart"/>
      <w:r>
        <w:lastRenderedPageBreak/>
        <w:t>Arirang</w:t>
      </w:r>
      <w:proofErr w:type="spellEnd"/>
      <w:r>
        <w:t xml:space="preserve"> hills became the hills of yearning for national liberation.”</w:t>
      </w:r>
      <w:r>
        <w:rPr>
          <w:rStyle w:val="FootnoteReference"/>
        </w:rPr>
        <w:footnoteReference w:id="116"/>
      </w:r>
      <w:r>
        <w:t xml:space="preserve"> This message was not as veiled as that of the first </w:t>
      </w:r>
      <w:proofErr w:type="spellStart"/>
      <w:r w:rsidRPr="009E4444">
        <w:rPr>
          <w:i/>
        </w:rPr>
        <w:t>arirang</w:t>
      </w:r>
      <w:proofErr w:type="spellEnd"/>
      <w:r>
        <w:t xml:space="preserve">. </w:t>
      </w:r>
      <w:proofErr w:type="gramStart"/>
      <w:r>
        <w:t>Similar to</w:t>
      </w:r>
      <w:proofErr w:type="gramEnd"/>
      <w:r>
        <w:t xml:space="preserve"> the first example, the </w:t>
      </w:r>
      <w:proofErr w:type="spellStart"/>
      <w:r>
        <w:rPr>
          <w:i/>
        </w:rPr>
        <w:t>arirang</w:t>
      </w:r>
      <w:proofErr w:type="spellEnd"/>
      <w:r>
        <w:t xml:space="preserve"> contained an implicit call to action – asking where the countrymen are now, presumably wanting them to return, defend Korea, and fight against Japanese rule. Other examples of the song, especially those sung by Korean rebel groups, were even more explicit in their anti-Japanese messaging:</w:t>
      </w:r>
    </w:p>
    <w:p w14:paraId="01844425" w14:textId="77777777" w:rsidR="00961436" w:rsidRDefault="00961436" w:rsidP="00961436">
      <w:r>
        <w:tab/>
        <w:t>If my parents are looking for me,</w:t>
      </w:r>
    </w:p>
    <w:p w14:paraId="4A36ED86" w14:textId="77777777" w:rsidR="00961436" w:rsidRDefault="00961436" w:rsidP="00961436">
      <w:r>
        <w:tab/>
        <w:t xml:space="preserve">Tell them I went to the </w:t>
      </w:r>
      <w:proofErr w:type="spellStart"/>
      <w:r>
        <w:t>Kwangbok</w:t>
      </w:r>
      <w:proofErr w:type="spellEnd"/>
      <w:r>
        <w:t xml:space="preserve"> Army.</w:t>
      </w:r>
    </w:p>
    <w:p w14:paraId="3842FC5B" w14:textId="77777777" w:rsidR="00961436" w:rsidRDefault="00961436" w:rsidP="00961436">
      <w:r>
        <w:tab/>
        <w:t xml:space="preserve">Ari </w:t>
      </w:r>
      <w:proofErr w:type="spellStart"/>
      <w:r>
        <w:t>arirang</w:t>
      </w:r>
      <w:proofErr w:type="spellEnd"/>
      <w:r>
        <w:t xml:space="preserve"> </w:t>
      </w:r>
      <w:proofErr w:type="spellStart"/>
      <w:r>
        <w:t>sūri</w:t>
      </w:r>
      <w:proofErr w:type="spellEnd"/>
      <w:r>
        <w:t xml:space="preserve"> </w:t>
      </w:r>
      <w:proofErr w:type="spellStart"/>
      <w:r>
        <w:t>sūrirang</w:t>
      </w:r>
      <w:proofErr w:type="spellEnd"/>
      <w:r>
        <w:t xml:space="preserve">, let’s sing the </w:t>
      </w:r>
      <w:proofErr w:type="spellStart"/>
      <w:r>
        <w:t>Kwangbok</w:t>
      </w:r>
      <w:proofErr w:type="spellEnd"/>
      <w:r>
        <w:t xml:space="preserve"> Army </w:t>
      </w:r>
      <w:proofErr w:type="spellStart"/>
      <w:r>
        <w:t>Arirang</w:t>
      </w:r>
      <w:proofErr w:type="spellEnd"/>
      <w:r>
        <w:t>.</w:t>
      </w:r>
    </w:p>
    <w:p w14:paraId="7CD809B8" w14:textId="77777777" w:rsidR="00961436" w:rsidRDefault="00961436" w:rsidP="00961436">
      <w:r>
        <w:tab/>
        <w:t>A violent wind blows, a violent wind blows.</w:t>
      </w:r>
    </w:p>
    <w:p w14:paraId="06F9CFCF" w14:textId="77777777" w:rsidR="00961436" w:rsidRDefault="00961436" w:rsidP="00961436">
      <w:pPr>
        <w:spacing w:line="480" w:lineRule="auto"/>
      </w:pPr>
      <w:r>
        <w:tab/>
        <w:t>It blows in the breast of thirty million Koreans.</w:t>
      </w:r>
      <w:r>
        <w:rPr>
          <w:rStyle w:val="FootnoteReference"/>
        </w:rPr>
        <w:footnoteReference w:id="117"/>
      </w:r>
    </w:p>
    <w:p w14:paraId="38A5E455" w14:textId="77777777" w:rsidR="00961436" w:rsidRDefault="00961436" w:rsidP="00961436">
      <w:pPr>
        <w:spacing w:line="480" w:lineRule="auto"/>
      </w:pPr>
      <w:r>
        <w:t xml:space="preserve">This </w:t>
      </w:r>
      <w:proofErr w:type="spellStart"/>
      <w:r w:rsidRPr="000F04E0">
        <w:rPr>
          <w:i/>
        </w:rPr>
        <w:t>arirang</w:t>
      </w:r>
      <w:proofErr w:type="spellEnd"/>
      <w:r>
        <w:t xml:space="preserve">, like the two other examples, showed how singers used the art form </w:t>
      </w:r>
      <w:proofErr w:type="gramStart"/>
      <w:r>
        <w:t>as a way to</w:t>
      </w:r>
      <w:proofErr w:type="gramEnd"/>
      <w:r>
        <w:t xml:space="preserve"> express emotions ranging from discontent to outright rebellion against Japanese rule. As the next chapter discusses, this same sentiment was extended into the period after liberation as the </w:t>
      </w:r>
      <w:proofErr w:type="spellStart"/>
      <w:r>
        <w:t>Kwangbok</w:t>
      </w:r>
      <w:proofErr w:type="spellEnd"/>
      <w:r>
        <w:t xml:space="preserve"> Army, which sang the last </w:t>
      </w:r>
      <w:proofErr w:type="spellStart"/>
      <w:r w:rsidRPr="00136412">
        <w:rPr>
          <w:i/>
        </w:rPr>
        <w:t>arirang</w:t>
      </w:r>
      <w:proofErr w:type="spellEnd"/>
      <w:r>
        <w:t xml:space="preserve"> cited here, formed the basis for the modern South Korean army.</w:t>
      </w:r>
      <w:r>
        <w:rPr>
          <w:rStyle w:val="FootnoteReference"/>
        </w:rPr>
        <w:footnoteReference w:id="118"/>
      </w:r>
      <w:r>
        <w:t xml:space="preserve"> Legacies such as this one exemplify how the history of </w:t>
      </w:r>
      <w:proofErr w:type="spellStart"/>
      <w:r w:rsidRPr="00136412">
        <w:rPr>
          <w:i/>
        </w:rPr>
        <w:t>arirang</w:t>
      </w:r>
      <w:proofErr w:type="spellEnd"/>
      <w:r>
        <w:t xml:space="preserve"> as a form of resistance continued to resonate in modern South Korea.</w:t>
      </w:r>
    </w:p>
    <w:p w14:paraId="4F356A31" w14:textId="77777777" w:rsidR="00961436" w:rsidRDefault="00961436" w:rsidP="00961436">
      <w:pPr>
        <w:spacing w:line="480" w:lineRule="auto"/>
      </w:pPr>
      <w:r>
        <w:tab/>
      </w:r>
      <w:proofErr w:type="gramStart"/>
      <w:r>
        <w:t>Similar to</w:t>
      </w:r>
      <w:proofErr w:type="gramEnd"/>
      <w:r>
        <w:t xml:space="preserve"> the collectors in Scotland, scholars in Korea utilized the very thing under attack from an outside source – folk culture – to fight back by constructing a national identity. In both cases, the actions of the attacking force, England and Japan respectively, led directly to the choices made by collectors and scholars. Both the songs and the intentions of those who utilized them show the explicit commitment to a nationalist cause. Through folk music, Korean nationalists identified national characteristics and histories and then utilized them to construct a single nation.</w:t>
      </w:r>
    </w:p>
    <w:p w14:paraId="4F37C76C" w14:textId="77777777" w:rsidR="00961436" w:rsidRPr="00891716" w:rsidRDefault="00961436" w:rsidP="00961436">
      <w:pPr>
        <w:rPr>
          <w:b/>
        </w:rPr>
      </w:pPr>
      <w:r w:rsidRPr="00347D48">
        <w:rPr>
          <w:b/>
        </w:rPr>
        <w:lastRenderedPageBreak/>
        <w:t>Belgium</w:t>
      </w:r>
    </w:p>
    <w:p w14:paraId="29EA4A1C" w14:textId="77777777" w:rsidR="00961436" w:rsidRDefault="00961436" w:rsidP="00961436">
      <w:pPr>
        <w:spacing w:line="480" w:lineRule="auto"/>
        <w:ind w:firstLine="720"/>
      </w:pPr>
      <w:r>
        <w:t>In the late nineteenth and early twentieth centuries, a cold war seemed to be raging in Belgium. Its combatants claimed the very soul of Belgium was at stake. The point of contention – language. This section focuses on the early construction of Flemish identity and the Flemish Movement. Then, it looks at the Walloon response and construction of a Walloon identity.</w:t>
      </w:r>
    </w:p>
    <w:p w14:paraId="1C29DFC7" w14:textId="77777777" w:rsidR="00961436" w:rsidRDefault="00961436" w:rsidP="00961436">
      <w:pPr>
        <w:spacing w:line="480" w:lineRule="auto"/>
        <w:ind w:firstLine="720"/>
      </w:pPr>
      <w:r>
        <w:t xml:space="preserve">In 1830, the Belgian Revolution gave Belgium political independence from the Netherlands. </w:t>
      </w:r>
      <w:proofErr w:type="gramStart"/>
      <w:r>
        <w:t>At this time</w:t>
      </w:r>
      <w:proofErr w:type="gramEnd"/>
      <w:r>
        <w:t>, the new government made French the language of the state of Belgium and gave French speakers other linguistic privileges.</w:t>
      </w:r>
      <w:r>
        <w:rPr>
          <w:rStyle w:val="FootnoteReference"/>
        </w:rPr>
        <w:footnoteReference w:id="119"/>
      </w:r>
      <w:r>
        <w:t xml:space="preserve"> It was in the context of this linguistic monopoly that the Flemish Movement began.</w:t>
      </w:r>
    </w:p>
    <w:p w14:paraId="0D7A9356" w14:textId="6380BBA6" w:rsidR="00961436" w:rsidRDefault="00961436" w:rsidP="00961436">
      <w:pPr>
        <w:spacing w:line="480" w:lineRule="auto"/>
      </w:pPr>
      <w:r>
        <w:tab/>
        <w:t xml:space="preserve">Leaders of the early Flemish Movements, often called </w:t>
      </w:r>
      <w:proofErr w:type="spellStart"/>
      <w:r>
        <w:t>Flamingants</w:t>
      </w:r>
      <w:proofErr w:type="spellEnd"/>
      <w:r>
        <w:t xml:space="preserve">, focused especially on language – the use and promotion of Flemish. Specifically, it promoted language parity within Belgium and a de-emphasis of French. One of the early members of the Movement, K. L. </w:t>
      </w:r>
      <w:proofErr w:type="spellStart"/>
      <w:r>
        <w:t>Ledeganack</w:t>
      </w:r>
      <w:proofErr w:type="spellEnd"/>
      <w:r>
        <w:t>, wrote of language in 1839, that in the current political climate of Belgium, “it is . . . perhaps not without profit in such a time to do something to combat foreign influence and to work for the greatest mark of a people’s independence – its language.”</w:t>
      </w:r>
      <w:r>
        <w:rPr>
          <w:rStyle w:val="FootnoteReference"/>
        </w:rPr>
        <w:footnoteReference w:id="120"/>
      </w:r>
      <w:r>
        <w:t xml:space="preserve"> The foreign influence here refer</w:t>
      </w:r>
      <w:r w:rsidR="004610CB">
        <w:t>r</w:t>
      </w:r>
      <w:r>
        <w:t xml:space="preserve">ed to the influence of the French language and culture. Phillip M. </w:t>
      </w:r>
      <w:proofErr w:type="spellStart"/>
      <w:r>
        <w:t>Blommaert</w:t>
      </w:r>
      <w:proofErr w:type="spellEnd"/>
      <w:r>
        <w:t xml:space="preserve"> operated with the same definition of language, arguing in 1832 that “there is nothing so closely connected with the basic principles of a nation’s existence as its language.”</w:t>
      </w:r>
      <w:r>
        <w:rPr>
          <w:rStyle w:val="FootnoteReference"/>
        </w:rPr>
        <w:footnoteReference w:id="121"/>
      </w:r>
      <w:r>
        <w:t xml:space="preserve"> For both these men, language proved the existence of a nation. In other words, the use of their language confirmed that the Flemings constituted a nation unto themselves and deserved to use their own language to protect </w:t>
      </w:r>
      <w:r>
        <w:lastRenderedPageBreak/>
        <w:t xml:space="preserve">their own identity. While, </w:t>
      </w:r>
      <w:proofErr w:type="gramStart"/>
      <w:r>
        <w:t>at this time</w:t>
      </w:r>
      <w:proofErr w:type="gramEnd"/>
      <w:r>
        <w:t>, there were no calls for Flanders to gain independence from Belgium, this same argument would eventually be used for that end. As part of this program to advance the recognition and use of Flemish, many members of the Movement also advocated writing literature in Flemish.</w:t>
      </w:r>
    </w:p>
    <w:p w14:paraId="32730D01" w14:textId="77777777" w:rsidR="00961436" w:rsidRDefault="00961436" w:rsidP="00961436">
      <w:pPr>
        <w:spacing w:line="480" w:lineRule="auto"/>
      </w:pPr>
      <w:r>
        <w:tab/>
        <w:t xml:space="preserve"> In the mid nineteenth century, much of the work of members of the Flemish Movement revolved around producing literature to glorify Flanders and the history of the Flemings. Two pieces were especially indicative of this trend. In 1834, Jan </w:t>
      </w:r>
      <w:proofErr w:type="spellStart"/>
      <w:r>
        <w:t>Frans</w:t>
      </w:r>
      <w:proofErr w:type="spellEnd"/>
      <w:r>
        <w:t xml:space="preserve"> Willems translated a folk tale, </w:t>
      </w:r>
      <w:r>
        <w:rPr>
          <w:i/>
        </w:rPr>
        <w:t>Reynard the Fox</w:t>
      </w:r>
      <w:r>
        <w:t xml:space="preserve">. The translation was incredibly popular and induced both the monolingual lower class Flemings as well as the bilingual upper classes to begin reading more in Flemish. His goal with this translation was explicitly nationalist in form. As he wrote in the Preface, “May my reworking of the older section of </w:t>
      </w:r>
      <w:r>
        <w:rPr>
          <w:i/>
        </w:rPr>
        <w:t>Reynard the Fox</w:t>
      </w:r>
      <w:r>
        <w:t xml:space="preserve"> contribute in some way to the rebirth of such a beloved language in a time when our country is being overrun with so much French offal!”</w:t>
      </w:r>
      <w:r>
        <w:rPr>
          <w:rStyle w:val="FootnoteReference"/>
        </w:rPr>
        <w:footnoteReference w:id="122"/>
      </w:r>
      <w:r>
        <w:t xml:space="preserve"> Willems explicitly laid out his goal: the increased use of Flemish over French. He constructed this goal as a zero-sum binary – the use of more Flemish must mean a decrease in the use of French because the two (presumably both languages and cultures) could not exist together.</w:t>
      </w:r>
    </w:p>
    <w:p w14:paraId="02C6B323" w14:textId="77777777" w:rsidR="00961436" w:rsidRDefault="00961436" w:rsidP="00961436">
      <w:pPr>
        <w:spacing w:line="480" w:lineRule="auto"/>
      </w:pPr>
      <w:r>
        <w:tab/>
        <w:t xml:space="preserve">Only eight years later, in 1838, Hendrik Conscience, one of the most famous </w:t>
      </w:r>
      <w:proofErr w:type="spellStart"/>
      <w:r>
        <w:t>Flamingants</w:t>
      </w:r>
      <w:proofErr w:type="spellEnd"/>
      <w:r>
        <w:t xml:space="preserve">, made his major contribution to the Movement. He based the novel, </w:t>
      </w:r>
      <w:r>
        <w:rPr>
          <w:i/>
        </w:rPr>
        <w:t>The Lion of Flanders</w:t>
      </w:r>
      <w:r>
        <w:t xml:space="preserve">, on the historical Battle of the Golden Spurs in 1302 between the Flemish and the French. Naturally, this historical moment proved ripe for nationalist interpretation. The novel sent waves throughout Flanders. In the Forward, Conscience explicitly laid out his political program: </w:t>
      </w:r>
    </w:p>
    <w:p w14:paraId="1BD2FC0A" w14:textId="77777777" w:rsidR="00961436" w:rsidRDefault="00961436" w:rsidP="00961436">
      <w:pPr>
        <w:ind w:left="720"/>
      </w:pPr>
      <w:r>
        <w:lastRenderedPageBreak/>
        <w:t xml:space="preserve">We Flemings have a history, a past, as </w:t>
      </w:r>
      <w:r>
        <w:rPr>
          <w:i/>
        </w:rPr>
        <w:t>a Country and as a People</w:t>
      </w:r>
      <w:r>
        <w:t xml:space="preserve"> . . . And yet the government would turn us into Walloons, sacrifice us with our ancient glory, our language, our illustrious history, and everything we have inherited from our forefathers? No, there is still too much real Flemish blood in the world for this to be possible, whatever political evil is used.</w:t>
      </w:r>
      <w:r>
        <w:rPr>
          <w:rStyle w:val="FootnoteReference"/>
        </w:rPr>
        <w:footnoteReference w:id="123"/>
      </w:r>
    </w:p>
    <w:p w14:paraId="081BD990" w14:textId="77777777" w:rsidR="00961436" w:rsidRDefault="00961436" w:rsidP="00961436">
      <w:pPr>
        <w:ind w:left="720"/>
      </w:pPr>
    </w:p>
    <w:p w14:paraId="2F763032" w14:textId="77777777" w:rsidR="00961436" w:rsidRDefault="00961436" w:rsidP="00961436">
      <w:pPr>
        <w:spacing w:line="480" w:lineRule="auto"/>
      </w:pPr>
      <w:r>
        <w:t>Here, Conscience constructed what he called the Flemish nation, drawing heavily on a shared history and language. This project coincided with the subject of the novel, which glorified an imagined historic Flemish community and their triumph over another linguistic group in military battle. In the last sentence, however, he extended this argument. He implied that a real Fleming, someone who truly wanted to hold on to their history and language, must actively defend it from the ongoing incursion and oppression of the French-speaking Walloon government. Real or not, this perception of oppression created the impetus to fight back, which Conscience and the Flemish Movement did through literature that promoted the use of the Flemish language throughout Flanders. As the motto of the movement stated, “In Flanders, Flemish!”</w:t>
      </w:r>
    </w:p>
    <w:p w14:paraId="6423C18F" w14:textId="77777777" w:rsidR="00961436" w:rsidRDefault="00961436" w:rsidP="00961436">
      <w:pPr>
        <w:spacing w:line="480" w:lineRule="auto"/>
      </w:pPr>
      <w:r>
        <w:tab/>
        <w:t xml:space="preserve">As outlined above, the focus of the Flemish Movement mainly fell on language, not folk culture, for a few reasons. First, there was little folk culture attached directly to Flanders, since it shared a cultural bond and history with the Netherlands. However, the more important reason as to why the Flemish Movement did not focus on folk culture involved the environment in which a Flemish identity was constructed. Unlike in Scotland and Korea, in Flanders there was no need to unify internal groups. Instead, </w:t>
      </w:r>
      <w:proofErr w:type="spellStart"/>
      <w:r>
        <w:t>Flamingants</w:t>
      </w:r>
      <w:proofErr w:type="spellEnd"/>
      <w:r>
        <w:t xml:space="preserve"> constructed Flemish identity in direct opposition to a perceived threat from a Walloon community. It was the French language and Walloon domination that threatened Flemish identity. Therefore, language became the touch point for the </w:t>
      </w:r>
      <w:proofErr w:type="spellStart"/>
      <w:r>
        <w:t>Flamingants</w:t>
      </w:r>
      <w:proofErr w:type="spellEnd"/>
      <w:r>
        <w:t xml:space="preserve"> because it was perceived it to be under the most threat from the Walloons. </w:t>
      </w:r>
    </w:p>
    <w:p w14:paraId="4AC56B28" w14:textId="77777777" w:rsidR="00961436" w:rsidRDefault="00961436" w:rsidP="00961436">
      <w:pPr>
        <w:spacing w:line="480" w:lineRule="auto"/>
      </w:pPr>
      <w:r>
        <w:lastRenderedPageBreak/>
        <w:tab/>
        <w:t xml:space="preserve">Walloon identity developed much later than Flemish identity, but it also developed in direct conflict with its counterpart in Belgium. As Chantal </w:t>
      </w:r>
      <w:proofErr w:type="spellStart"/>
      <w:r>
        <w:t>Kesteloot</w:t>
      </w:r>
      <w:proofErr w:type="spellEnd"/>
      <w:r>
        <w:t xml:space="preserve"> outlines, the French language and Francophone cultural dominance were the rallying point for the beginnings of the Walloon Movement.</w:t>
      </w:r>
      <w:r>
        <w:rPr>
          <w:rStyle w:val="FootnoteReference"/>
        </w:rPr>
        <w:footnoteReference w:id="124"/>
      </w:r>
      <w:r>
        <w:t xml:space="preserve"> Leaders chose these points because they were perceived to be under direct attack from the Flemish Movement in the late nineteenth century. </w:t>
      </w:r>
      <w:proofErr w:type="spellStart"/>
      <w:r>
        <w:t>Kesteloot</w:t>
      </w:r>
      <w:proofErr w:type="spellEnd"/>
      <w:r>
        <w:t xml:space="preserve"> emphasizes this point when she argues that the Walloon Movement was created and developed within a clearly Belgian context.</w:t>
      </w:r>
      <w:r>
        <w:rPr>
          <w:rStyle w:val="FootnoteReference"/>
        </w:rPr>
        <w:footnoteReference w:id="125"/>
      </w:r>
      <w:r>
        <w:t xml:space="preserve"> As she writes, “the Walloon militants began to realize that since the Flemings would never relinquish their demands it became imperative to them to set up their own list of demands and to concentrate their fight solely on the Walloon region.”</w:t>
      </w:r>
      <w:r>
        <w:rPr>
          <w:rStyle w:val="FootnoteReference"/>
        </w:rPr>
        <w:footnoteReference w:id="126"/>
      </w:r>
      <w:r>
        <w:t xml:space="preserve"> In other words, developed through conflict with the Flemish Movement, the Walloon Movement partisans concentrated their work on defense of the French language and Walloon culture.</w:t>
      </w:r>
    </w:p>
    <w:p w14:paraId="12ACC011" w14:textId="77777777" w:rsidR="00961436" w:rsidRDefault="00961436" w:rsidP="00961436">
      <w:pPr>
        <w:spacing w:line="480" w:lineRule="auto"/>
      </w:pPr>
      <w:r>
        <w:tab/>
        <w:t xml:space="preserve">One of the most famous written defenses of the Walloon Movement came in 1912 from Jules </w:t>
      </w:r>
      <w:proofErr w:type="spellStart"/>
      <w:r>
        <w:t>Destrée</w:t>
      </w:r>
      <w:proofErr w:type="spellEnd"/>
      <w:r>
        <w:t>. He wrote a letter to the King “Concerning the Separation of Flanders and Wallonia.” In this letter, he first explained the critical role of language, felt by both the Flemish and the Walloons:</w:t>
      </w:r>
    </w:p>
    <w:p w14:paraId="0850FA2F" w14:textId="77777777" w:rsidR="00961436" w:rsidRDefault="00961436" w:rsidP="00961436">
      <w:pPr>
        <w:ind w:left="720"/>
      </w:pPr>
      <w:r>
        <w:t>A language is a treasure accumulated over the course of centuries by a human society. It includes the memory and the echo of its customs, beliefs and sufferings. It evokes among those who speak it confused impressions which go back to the dim ears to the child babbling on its mother’s knee, and further back still to associations with ancestors from the remote past. These is a sense of mystery in the attachment to a language, because it is more a part of our deepest subconscious being than of our reigning faculty.</w:t>
      </w:r>
      <w:r>
        <w:rPr>
          <w:rStyle w:val="FootnoteReference"/>
        </w:rPr>
        <w:footnoteReference w:id="127"/>
      </w:r>
    </w:p>
    <w:p w14:paraId="259AA4C8" w14:textId="77777777" w:rsidR="00961436" w:rsidRDefault="00961436" w:rsidP="00961436">
      <w:pPr>
        <w:ind w:left="720"/>
      </w:pPr>
    </w:p>
    <w:p w14:paraId="38B05FFA" w14:textId="77777777" w:rsidR="00961436" w:rsidRDefault="00961436" w:rsidP="00961436">
      <w:pPr>
        <w:spacing w:line="480" w:lineRule="auto"/>
      </w:pPr>
      <w:r>
        <w:lastRenderedPageBreak/>
        <w:t xml:space="preserve">Here, </w:t>
      </w:r>
      <w:proofErr w:type="spellStart"/>
      <w:r>
        <w:t>Destrée</w:t>
      </w:r>
      <w:proofErr w:type="spellEnd"/>
      <w:r>
        <w:t xml:space="preserve"> outlined how language became central to constructions of both Flemish and Walloon identity. </w:t>
      </w:r>
      <w:proofErr w:type="spellStart"/>
      <w:r>
        <w:t>Flamingants</w:t>
      </w:r>
      <w:proofErr w:type="spellEnd"/>
      <w:r>
        <w:t xml:space="preserve"> and Walloon nationalists connected language with history and culture so deeply that the three could not be disentangled. Therefore, an attack on either Flemish or French became not just an attack on the language, but an attack on the culture and people themselves. This feeling of attack further spurred both Movements into conflict with each other.</w:t>
      </w:r>
    </w:p>
    <w:p w14:paraId="615ED30F" w14:textId="77777777" w:rsidR="00961436" w:rsidRDefault="00961436" w:rsidP="00961436">
      <w:pPr>
        <w:spacing w:line="480" w:lineRule="auto"/>
      </w:pPr>
      <w:r>
        <w:tab/>
      </w:r>
      <w:proofErr w:type="spellStart"/>
      <w:r>
        <w:t>Destrée</w:t>
      </w:r>
      <w:proofErr w:type="spellEnd"/>
      <w:r>
        <w:t xml:space="preserve"> also wrote of the feelings of the Walloons in the face of the rapidly growing Flemish Movement. He argued that the Flemish Movement had overstepped its goal of language parity and “now threatens Wallonia.”</w:t>
      </w:r>
      <w:r>
        <w:rPr>
          <w:rStyle w:val="FootnoteReference"/>
        </w:rPr>
        <w:footnoteReference w:id="128"/>
      </w:r>
      <w:r>
        <w:t xml:space="preserve"> This clearly referenced the feelings of attack that he alluded to in his discussion of language. Particularly troubling to </w:t>
      </w:r>
      <w:proofErr w:type="spellStart"/>
      <w:r>
        <w:t>Destrée</w:t>
      </w:r>
      <w:proofErr w:type="spellEnd"/>
      <w:r>
        <w:t xml:space="preserve"> was the lack of remedy for this feeling. He lamented that the Flemings “have taken our [Walloon] past from us,” and about how Walloons “are completely ignorant of our Walloon past.”</w:t>
      </w:r>
      <w:r>
        <w:rPr>
          <w:rStyle w:val="FootnoteReference"/>
        </w:rPr>
        <w:footnoteReference w:id="129"/>
      </w:r>
      <w:r>
        <w:t xml:space="preserve"> This state of affairs, for </w:t>
      </w:r>
      <w:proofErr w:type="spellStart"/>
      <w:r>
        <w:t>Destrée</w:t>
      </w:r>
      <w:proofErr w:type="spellEnd"/>
      <w:r>
        <w:t xml:space="preserve">, was dire both because of the Flemish Movement’s success, but also because of what he perceived as a lack of material for a counter movement in Wallonia. As he wrote, “It really seems as though we have nothing to recall </w:t>
      </w:r>
      <w:proofErr w:type="gramStart"/>
      <w:r>
        <w:t>to embolden</w:t>
      </w:r>
      <w:proofErr w:type="gramEnd"/>
      <w:r>
        <w:t xml:space="preserve"> the spirits and arouse enthusiasm.”</w:t>
      </w:r>
      <w:r>
        <w:rPr>
          <w:rStyle w:val="FootnoteReference"/>
        </w:rPr>
        <w:footnoteReference w:id="130"/>
      </w:r>
      <w:r>
        <w:t xml:space="preserve"> For </w:t>
      </w:r>
      <w:proofErr w:type="spellStart"/>
      <w:r>
        <w:t>Destrée</w:t>
      </w:r>
      <w:proofErr w:type="spellEnd"/>
      <w:r>
        <w:t>, language and history were the two most important components in identity, and both of these for the Walloons were under attack through the Flemish Movement. Therefore, the Walloons needed to conjure a response if their culture was to survive this attack.</w:t>
      </w:r>
    </w:p>
    <w:p w14:paraId="0DD3CD1B" w14:textId="77777777" w:rsidR="00961436" w:rsidRDefault="00961436" w:rsidP="00961436">
      <w:pPr>
        <w:spacing w:line="480" w:lineRule="auto"/>
      </w:pPr>
      <w:r>
        <w:tab/>
      </w:r>
      <w:proofErr w:type="spellStart"/>
      <w:r>
        <w:t>Destrée’s</w:t>
      </w:r>
      <w:proofErr w:type="spellEnd"/>
      <w:r>
        <w:t xml:space="preserve"> letter was most famous for the conclusion he drew from the state of affairs in Belgium in the early twentieth century. He wrote to the King, “You reign over two peoples. There are, in Belgium, Walloons and Flemings; there are not Belgians.”</w:t>
      </w:r>
      <w:r>
        <w:rPr>
          <w:rStyle w:val="FootnoteReference"/>
        </w:rPr>
        <w:footnoteReference w:id="131"/>
      </w:r>
      <w:r>
        <w:t xml:space="preserve"> This sentiment – that </w:t>
      </w:r>
      <w:r>
        <w:lastRenderedPageBreak/>
        <w:t xml:space="preserve">Belgium does not really exist – would become only more prevalent as Belgium became a more and more federal state later in the twentieth century. The popular agreement with </w:t>
      </w:r>
      <w:proofErr w:type="spellStart"/>
      <w:r>
        <w:t>Destrée’s</w:t>
      </w:r>
      <w:proofErr w:type="spellEnd"/>
      <w:r>
        <w:t xml:space="preserve"> statement revealed the strength of two sub-national ethnic identities – for many, a Belgian identity was nonexistent. This left just Flemish and Walloon identities to compete against each other.</w:t>
      </w:r>
    </w:p>
    <w:p w14:paraId="11703271" w14:textId="77777777" w:rsidR="00961436" w:rsidRDefault="00961436" w:rsidP="00961436">
      <w:pPr>
        <w:spacing w:line="480" w:lineRule="auto"/>
        <w:ind w:firstLine="720"/>
      </w:pPr>
      <w:r w:rsidRPr="00B72B1F">
        <w:t xml:space="preserve">Both Flemish and Walloon </w:t>
      </w:r>
      <w:r>
        <w:t>communities</w:t>
      </w:r>
      <w:r w:rsidRPr="00B72B1F">
        <w:t xml:space="preserve"> function</w:t>
      </w:r>
      <w:r>
        <w:t>ed</w:t>
      </w:r>
      <w:r w:rsidRPr="00B72B1F">
        <w:t xml:space="preserve"> within a broader Belgian state and identity, even thou</w:t>
      </w:r>
      <w:r>
        <w:t>gh some groups on both sides mad</w:t>
      </w:r>
      <w:r w:rsidRPr="00B72B1F">
        <w:t>e claims to a separate state. Under these circumstances, it is not surprising that Flemish</w:t>
      </w:r>
      <w:r>
        <w:t xml:space="preserve"> and Walloon identities</w:t>
      </w:r>
      <w:r w:rsidRPr="00B72B1F">
        <w:t xml:space="preserve"> developed significantly differently than</w:t>
      </w:r>
      <w:r>
        <w:t xml:space="preserve"> the Scottish and Korean varieties</w:t>
      </w:r>
      <w:r w:rsidRPr="00B72B1F">
        <w:t>.</w:t>
      </w:r>
      <w:r>
        <w:t xml:space="preserve"> </w:t>
      </w:r>
      <w:proofErr w:type="gramStart"/>
      <w:r>
        <w:t>Both of the</w:t>
      </w:r>
      <w:proofErr w:type="gramEnd"/>
      <w:r>
        <w:t xml:space="preserve"> former two functioned as sub-national and ethnic identities rather than as national identities, like the identities in Scotland and Korea. This was another key difference that affected how the identities developed.</w:t>
      </w:r>
      <w:r>
        <w:tab/>
      </w:r>
    </w:p>
    <w:p w14:paraId="184BE448" w14:textId="77777777" w:rsidR="00961436" w:rsidRDefault="00961436" w:rsidP="00961436">
      <w:pPr>
        <w:spacing w:line="480" w:lineRule="auto"/>
        <w:ind w:firstLine="720"/>
      </w:pPr>
      <w:r>
        <w:t>In the case of both the Flemish and Walloon Movements, conflict with the other group over language reinforced a focus on language. While the Walloon Movement took longer to reach fruition, both groups responded to a perceived attack from the other group on their language and culture. Therefore, unlike in Scotland and Korea, where there was a perceived attack on folk culture, both Flemish and Walloon activists concentrated on what they believed was under threat – language. In addition, because Flemish and Walloon identities were sub-national ethnic identities, they did not have to work to unify a collective internal group, therefore a focus on folk culture was not necessary or useful. Instead, building identities around language allowed both movements to defend against attacks on their language and culture within the perceived zero-sum game of political and linguistic power in Belgium.</w:t>
      </w:r>
    </w:p>
    <w:p w14:paraId="49361184" w14:textId="77777777" w:rsidR="00E91E41" w:rsidRDefault="00E91E41" w:rsidP="00961436">
      <w:pPr>
        <w:spacing w:line="480" w:lineRule="auto"/>
        <w:rPr>
          <w:b/>
        </w:rPr>
      </w:pPr>
    </w:p>
    <w:p w14:paraId="3A4ACEB8" w14:textId="77777777" w:rsidR="00E91E41" w:rsidRDefault="00E91E41" w:rsidP="00961436">
      <w:pPr>
        <w:spacing w:line="480" w:lineRule="auto"/>
        <w:rPr>
          <w:b/>
        </w:rPr>
      </w:pPr>
    </w:p>
    <w:p w14:paraId="32815FB8" w14:textId="77777777" w:rsidR="00961436" w:rsidRPr="006814F6" w:rsidRDefault="00961436" w:rsidP="00961436">
      <w:pPr>
        <w:spacing w:line="480" w:lineRule="auto"/>
        <w:rPr>
          <w:b/>
        </w:rPr>
      </w:pPr>
      <w:r w:rsidRPr="006814F6">
        <w:rPr>
          <w:b/>
        </w:rPr>
        <w:lastRenderedPageBreak/>
        <w:t>Conclusion</w:t>
      </w:r>
    </w:p>
    <w:p w14:paraId="2841ED36" w14:textId="77777777" w:rsidR="00961436" w:rsidRDefault="00961436" w:rsidP="00961436">
      <w:pPr>
        <w:spacing w:line="480" w:lineRule="auto"/>
      </w:pPr>
      <w:r>
        <w:tab/>
        <w:t xml:space="preserve">This chapter detailed the early construction of identity in Scotland, Korea, and Belgium. In all three cases, nationalists concentrated on defending what they perceived to be under attack – either folk culture or language. Therefore, the group against which an identity was constructed directly impacted how that identity was constructed. The focal point of the oppositional group’s attack became a key touchpoint for the defending group’s identity. </w:t>
      </w:r>
    </w:p>
    <w:p w14:paraId="04360285" w14:textId="77777777" w:rsidR="00961436" w:rsidRPr="00200286" w:rsidRDefault="00961436" w:rsidP="00961436">
      <w:pPr>
        <w:spacing w:line="480" w:lineRule="auto"/>
        <w:ind w:firstLine="720"/>
      </w:pPr>
      <w:r>
        <w:t>Through a comparison of the three cases, it becomes clear that a major reason for the use of folk culture in construction of national identity in Scotland and Korea was the need to internally unify the nation against an external Other. In Scotland, this was the internal unification of Highlanders and Lowlanders to create Scotland and a unified Scottish identity. For Korea, it was the project of unifying the</w:t>
      </w:r>
      <w:r>
        <w:rPr>
          <w:i/>
        </w:rPr>
        <w:t xml:space="preserve"> yangban</w:t>
      </w:r>
      <w:r>
        <w:t xml:space="preserve"> with the rest of the population. Nationalists used folk culture in these contexts to unify disparate groups within the constructed nation. In other words, it can be used to teach the members of the nation who they are as well as to construct an identity in opposition to </w:t>
      </w:r>
      <w:proofErr w:type="gramStart"/>
      <w:r>
        <w:t>an Other</w:t>
      </w:r>
      <w:proofErr w:type="gramEnd"/>
      <w:r>
        <w:t>. In Belgium, however, the two competing sub-national groups, Flemings and Walloons, were already politically unified. Therefore, nationalists turned their attention to opposing the internal Other. In this case, language was the most effective tool for building identities in the construction project. The next chapter explores how these identities were reconstructed – in different times under different circumstance and different threats – to explore the evolution of the role of folk culture in identity and the continual reconstruction of identity more broadly.</w:t>
      </w:r>
    </w:p>
    <w:p w14:paraId="270B49E3" w14:textId="77777777" w:rsidR="00961436" w:rsidRDefault="00961436" w:rsidP="003B1C74">
      <w:pPr>
        <w:spacing w:line="480" w:lineRule="auto"/>
        <w:jc w:val="center"/>
        <w:rPr>
          <w:b/>
        </w:rPr>
      </w:pPr>
      <w:r>
        <w:br w:type="page"/>
      </w:r>
      <w:r>
        <w:rPr>
          <w:b/>
        </w:rPr>
        <w:lastRenderedPageBreak/>
        <w:t>Chapter 3:</w:t>
      </w:r>
    </w:p>
    <w:p w14:paraId="771E4B53" w14:textId="77777777" w:rsidR="00961436" w:rsidRDefault="00961436" w:rsidP="003B1C74">
      <w:pPr>
        <w:spacing w:line="480" w:lineRule="auto"/>
        <w:jc w:val="center"/>
        <w:rPr>
          <w:b/>
        </w:rPr>
      </w:pPr>
      <w:r>
        <w:rPr>
          <w:b/>
        </w:rPr>
        <w:t>Identity, Revisited</w:t>
      </w:r>
    </w:p>
    <w:p w14:paraId="603CA264" w14:textId="77777777" w:rsidR="00961436" w:rsidRPr="00ED179C" w:rsidRDefault="00961436" w:rsidP="00961436">
      <w:pPr>
        <w:spacing w:line="480" w:lineRule="auto"/>
      </w:pPr>
      <w:r>
        <w:tab/>
        <w:t>This chapter focuses on how various groups reconstructed identities to serve a variety of changing purposes. In the process of this reconstruction, the role of folk culture was often reevaluated in the face of new challenges. As specified in the last chapter, the essential role of identity in unifying groups internally impacted how actors used folk culture in the reconstruction of that identity. This reevaluation is seen most clearly in Scotland, where folk culture became less necessary to identity construction in the 1960s and 1970s due to the unity of internal groups. In Korea, actors continued to use folk culture to unify the nation internally in the 1970s and 1980s, though the use of folk culture by three different entities (the North Korean government, the South Korean government, and protestors in South Korea) exemplified the multitude of ways identity can and is reconstructed to suit different agendas. In Belgium, the connection between Flemish and Walloon identity was manifested in the rise of the far-right parties and xenophobic and anti-immigrant rhetoric and a new focus on an external Other.</w:t>
      </w:r>
    </w:p>
    <w:p w14:paraId="112EBE42" w14:textId="77777777" w:rsidR="00961436" w:rsidRDefault="00961436" w:rsidP="00961436">
      <w:pPr>
        <w:spacing w:line="480" w:lineRule="auto"/>
      </w:pPr>
      <w:r>
        <w:rPr>
          <w:b/>
        </w:rPr>
        <w:t>Scotland</w:t>
      </w:r>
    </w:p>
    <w:p w14:paraId="49459AFB" w14:textId="77777777" w:rsidR="00961436" w:rsidRDefault="00961436" w:rsidP="00961436">
      <w:pPr>
        <w:spacing w:line="480" w:lineRule="auto"/>
      </w:pPr>
      <w:r>
        <w:tab/>
      </w:r>
      <w:proofErr w:type="gramStart"/>
      <w:r>
        <w:t>In the midst of</w:t>
      </w:r>
      <w:proofErr w:type="gramEnd"/>
      <w:r>
        <w:t xml:space="preserve"> the Wars of Independence in the fourteenth century, a relic was stolen from Perth, Scotland and placed in Westminster Abbey in London. This stone, known as the Stone of Destiny, traditionally played a role in the coronation of Scottish kings. After Edward I of England took the Stone, it remained in Westminster Abbey in London for six and a half centuries until it was once again stolen, this time to be brought back to Scotland and utilized in the awakening of a Scottish national consciousness. This episode highlights the shifting nature of Scottish identity and its reconstruction around, in part, Scottish history.</w:t>
      </w:r>
    </w:p>
    <w:p w14:paraId="0E576115" w14:textId="77777777" w:rsidR="00961436" w:rsidRDefault="00961436" w:rsidP="00961436">
      <w:pPr>
        <w:spacing w:line="480" w:lineRule="auto"/>
        <w:ind w:firstLine="720"/>
      </w:pPr>
      <w:r>
        <w:lastRenderedPageBreak/>
        <w:t xml:space="preserve">This section covers the reconstruction of Scottish identity in the 1960s and 1970s, which coincided with the rise of the Scottish National Party (SNP) and the election of the SNP Member of Parliament (MP) Winnie Ewing to the Westminster Parliament in a 1967 by-election. Before delving into the reconstruction of Scottish identity, it gives a brief overview of </w:t>
      </w:r>
      <w:proofErr w:type="spellStart"/>
      <w:r>
        <w:t>Scottishness</w:t>
      </w:r>
      <w:proofErr w:type="spellEnd"/>
      <w:r>
        <w:t xml:space="preserve"> in the years after the period covered by chapter two that is essential to understanding the reconstruction of Scottish identity.</w:t>
      </w:r>
    </w:p>
    <w:p w14:paraId="49342A8F" w14:textId="4DF2EE1B" w:rsidR="00961436" w:rsidRDefault="00961436" w:rsidP="00961436">
      <w:pPr>
        <w:spacing w:line="480" w:lineRule="auto"/>
      </w:pPr>
      <w:r>
        <w:tab/>
        <w:t xml:space="preserve">In the period between the late nineteenth century and the 1960s, the most activity around Scottish identity occurred within the Scottish Renaissance of the interwar years. It was during this period, after the devastation of the First World War, that a refocusing of efforts around Scottish identity occurred. During the 1920s and 1930s, the Scottish Renaissance reoriented the construction of </w:t>
      </w:r>
      <w:proofErr w:type="spellStart"/>
      <w:r>
        <w:t>Scottishness</w:t>
      </w:r>
      <w:proofErr w:type="spellEnd"/>
      <w:r>
        <w:t xml:space="preserve"> onto the foundations of language, history, and literature. The movement sought “to recover a self-determining identity for Scotland both culturally and politically.”</w:t>
      </w:r>
      <w:r>
        <w:rPr>
          <w:rStyle w:val="FootnoteReference"/>
        </w:rPr>
        <w:footnoteReference w:id="132"/>
      </w:r>
      <w:r>
        <w:t xml:space="preserve"> To do this, writers associated with the movement wrote in largely Scots or Gaelic about the history and nature of Scotland, especially the north-east. The author Hugh </w:t>
      </w:r>
      <w:proofErr w:type="spellStart"/>
      <w:r>
        <w:t>McDiarmid</w:t>
      </w:r>
      <w:proofErr w:type="spellEnd"/>
      <w:r>
        <w:t xml:space="preserve"> emerged as a central figure </w:t>
      </w:r>
      <w:proofErr w:type="gramStart"/>
      <w:r>
        <w:t>at this time</w:t>
      </w:r>
      <w:proofErr w:type="gramEnd"/>
      <w:r>
        <w:t xml:space="preserve"> as the founder of the movement, and he continues to occupy an important place in the Scottish literary cannon. In his most famous work, </w:t>
      </w:r>
      <w:r>
        <w:rPr>
          <w:i/>
        </w:rPr>
        <w:t>A Drunk Man Looks at the Thistle</w:t>
      </w:r>
      <w:r>
        <w:t>, MacDiarmid painted a picture “of a Scotland that has lost all sense of itself as a distinctive entity” and calls for its renewal.</w:t>
      </w:r>
      <w:r>
        <w:rPr>
          <w:rStyle w:val="FootnoteReference"/>
        </w:rPr>
        <w:footnoteReference w:id="133"/>
      </w:r>
      <w:r>
        <w:t xml:space="preserve"> The epic-length poem was written in Scots. MacDiarmid chose to write in Scots both as a form of resistance against English literary dominance as well as to contribute to the reconstruction of a Scottish identity.</w:t>
      </w:r>
      <w:r>
        <w:rPr>
          <w:rStyle w:val="FootnoteReference"/>
        </w:rPr>
        <w:footnoteReference w:id="134"/>
      </w:r>
      <w:r>
        <w:t xml:space="preserve"> However, he </w:t>
      </w:r>
      <w:r>
        <w:lastRenderedPageBreak/>
        <w:t>also promoted the use of Gaelic, both in everyday life and for literary works. MacDiarmid believed that “in Gaelic we return closer than ever to the old Scotland.”</w:t>
      </w:r>
      <w:r>
        <w:rPr>
          <w:rStyle w:val="FootnoteReference"/>
        </w:rPr>
        <w:footnoteReference w:id="135"/>
      </w:r>
      <w:r>
        <w:t xml:space="preserve"> Unlike Burns, MacDiarmid focused his idealized past Scotland on north-east Scotland and the use of language. These priorities were reflected in the Scottish Renaissance. First, they exposed the new focus on language, as the use of Gaelic was an explicit call to action from MacDiarmid. Second, using Gaelic was linked to a return to a past version of Scotland. MacDiarmid implied in this statement that the older version of Scotland was somehow better or more authentic. His view showed how the writers of the Scottish Renaissance </w:t>
      </w:r>
      <w:proofErr w:type="spellStart"/>
      <w:r>
        <w:t>reappropr</w:t>
      </w:r>
      <w:r w:rsidR="004651A4">
        <w:t>i</w:t>
      </w:r>
      <w:r>
        <w:t>ated</w:t>
      </w:r>
      <w:proofErr w:type="spellEnd"/>
      <w:r>
        <w:t xml:space="preserve"> Scottish history to promote a Scottish identity. This contrasts with the way earlier Scottish writers, especially Burns, turned to folk music to ground Scottish identity. The trend towards language, history, and literature continued in the 1960s and 1970s.</w:t>
      </w:r>
    </w:p>
    <w:p w14:paraId="7151982C" w14:textId="1E31A0BC" w:rsidR="00961436" w:rsidRDefault="00961436" w:rsidP="00961436">
      <w:pPr>
        <w:spacing w:line="480" w:lineRule="auto"/>
      </w:pPr>
      <w:r>
        <w:tab/>
        <w:t>The post-war years saw a second reformulation of Scottish consciousness. As discussed in the last chapter, during the mid-nineteenth century, nationalists constructed Scottish identity both against an outside Other – the English – and to unify internally disparate Scottish identities – the Highlands and the Lowlands. When looking at the reconstruction of Scottish identity in the 1960s and 1970s, this double layer of identity construction required a reexamination. By the 1960s and 1970s, one layer was still the same – construction of a Scottish identity in opposition to an English identity. As one author described it, “For Scots, England is the ‘significant other’ that helps to define their Scottish identity.”</w:t>
      </w:r>
      <w:r>
        <w:rPr>
          <w:rStyle w:val="FootnoteReference"/>
        </w:rPr>
        <w:footnoteReference w:id="136"/>
      </w:r>
      <w:r>
        <w:t xml:space="preserve"> Indeed, this construction appeared in how people </w:t>
      </w:r>
      <w:r>
        <w:lastRenderedPageBreak/>
        <w:t>understand their Scottish identity today. As one Scot living in England, Joyce Savage, put it, “In Scotland its quite inbred that you don’t like the English.”</w:t>
      </w:r>
      <w:r>
        <w:rPr>
          <w:rStyle w:val="FootnoteReference"/>
        </w:rPr>
        <w:footnoteReference w:id="137"/>
      </w:r>
      <w:r>
        <w:t xml:space="preserve"> This same construction occur</w:t>
      </w:r>
      <w:r w:rsidR="00FA6CBB">
        <w:t>r</w:t>
      </w:r>
      <w:r>
        <w:t xml:space="preserve">ed in politics as well. William Wolfe, former leader of the SNP, wrote of the relationship between England and Scotland, “I think that the time has come for the people of Scotland to </w:t>
      </w:r>
      <w:proofErr w:type="spellStart"/>
      <w:r>
        <w:t>realise</w:t>
      </w:r>
      <w:proofErr w:type="spellEnd"/>
      <w:r>
        <w:t xml:space="preserve"> that the choice is not, as we have often said, ‘for or against Scotland.’ It is ‘for Scotland or for England.’”</w:t>
      </w:r>
      <w:r>
        <w:rPr>
          <w:rStyle w:val="FootnoteReference"/>
        </w:rPr>
        <w:footnoteReference w:id="138"/>
      </w:r>
      <w:r>
        <w:t xml:space="preserve"> This explanation of the political implications for a Scottish identity constructed in opposition to an English identity made clear that the two identities, in both the mid nineteenth and late twentieth centuries, were conceived as oppositional and often mutually exclusive. This layer of identity construction was still in place in the twentieth century.</w:t>
      </w:r>
    </w:p>
    <w:p w14:paraId="6247C339" w14:textId="77777777" w:rsidR="00961436" w:rsidRDefault="00961436" w:rsidP="00961436">
      <w:pPr>
        <w:spacing w:line="480" w:lineRule="auto"/>
      </w:pPr>
      <w:r>
        <w:tab/>
        <w:t xml:space="preserve">The second layer of identity construction in Scotland in the mid nineteenth century manifested in nationalists’ use of folk culture to unify Highland and Lowland identities. Collectors deployed folk culture to show the Highlanders and Lowlanders what it meant to be Scottish, not just committed to their regional identities. However, was this layer still present in the 1960s and 1970s? In the 1950s, when John MacDonald </w:t>
      </w:r>
      <w:proofErr w:type="spellStart"/>
      <w:r>
        <w:t>MacCormick</w:t>
      </w:r>
      <w:proofErr w:type="spellEnd"/>
      <w:r>
        <w:t>, one of the founding members of the SNP, wrote his memoirs, he made frequent references to Gaelic identity, or Highland and Lowland culture.</w:t>
      </w:r>
      <w:r>
        <w:rPr>
          <w:rStyle w:val="FootnoteReference"/>
        </w:rPr>
        <w:footnoteReference w:id="139"/>
      </w:r>
      <w:r>
        <w:t xml:space="preserve"> </w:t>
      </w:r>
      <w:proofErr w:type="spellStart"/>
      <w:r>
        <w:t>MacCormick</w:t>
      </w:r>
      <w:proofErr w:type="spellEnd"/>
      <w:r>
        <w:t xml:space="preserve"> presented these cultures as evidence of diversity within Scotland, but not two fundamentally different identities. This shift was due, in part, to the prior effective deployment of symbols of Highland identity and culture in a broader Scottish </w:t>
      </w:r>
      <w:r>
        <w:lastRenderedPageBreak/>
        <w:t>identity.</w:t>
      </w:r>
      <w:r>
        <w:rPr>
          <w:rStyle w:val="FootnoteReference"/>
        </w:rPr>
        <w:footnoteReference w:id="140"/>
      </w:r>
      <w:r>
        <w:t xml:space="preserve"> He addressed both Highland and Lowland history, but portrayed that past as one shared throughout Scotland. The focus on shared history can also be seen in the way the SNP celebrated its first electoral victory during a General Election. As William Wolfe wrote in his memoir, “The next day, at Bannockburn, we held our annual commemoration of the victorious battle at which the right of the people of Scotland to run their own affairs independent of English tyranny was established.”</w:t>
      </w:r>
      <w:r>
        <w:rPr>
          <w:rStyle w:val="FootnoteReference"/>
        </w:rPr>
        <w:footnoteReference w:id="141"/>
      </w:r>
      <w:r>
        <w:t xml:space="preserve"> The victory for Robert the Bruce at Bannockburn was not associated with the Highlands or Lowlands, but with Scotland as a nation and was a mainstay of the nationalist history of Scotland. </w:t>
      </w:r>
    </w:p>
    <w:p w14:paraId="761949A1" w14:textId="77777777" w:rsidR="00961436" w:rsidRDefault="00961436" w:rsidP="00961436">
      <w:pPr>
        <w:spacing w:line="480" w:lineRule="auto"/>
        <w:ind w:firstLine="720"/>
      </w:pPr>
      <w:r>
        <w:t xml:space="preserve">Wolfe, however, goes on to give a more explicit description of the internal unity of Scottish identity in the 1970s. As he wrote, “The essence of Scottish existence has its roots in the Celtic origins of the </w:t>
      </w:r>
      <w:proofErr w:type="gramStart"/>
      <w:r>
        <w:t>vast majority</w:t>
      </w:r>
      <w:proofErr w:type="gramEnd"/>
      <w:r>
        <w:t xml:space="preserve"> of the people of Scotland, whether we are talking of the warm community spirit of a mining village of the Lothian, of a tenement in Glasgow or of a scattered crofting township in the Hebrides.”</w:t>
      </w:r>
      <w:r>
        <w:rPr>
          <w:rStyle w:val="FootnoteReference"/>
        </w:rPr>
        <w:footnoteReference w:id="142"/>
      </w:r>
      <w:r>
        <w:t xml:space="preserve"> In this claim, Wolfe exemplified a few of the key tenets of the reconstruction of Scottish identity in the 1960s and 1970s. First, he rooted Scottish identity in the past and in Scottish history. Specifically, he spoke of the Celtic past as the key to “the essence of Scottish existence”. This exemplified the focus on history as a key part of Scottish identity in the 1960s and 1970s. His appeal to a Celtic past also demonstrated how Highland history had successfully been appropriated to the entirety of Scotland since Celtic ancestry existed in, mainly, the Highlands and Islands of Scotland and not the Lowlands. Additionally, Wolfe’s words exemplified the long-term success of the nineteenth-century project of bridging </w:t>
      </w:r>
      <w:r>
        <w:lastRenderedPageBreak/>
        <w:t>Highland and Lowland identities into a single Scottish consciousness. He further referenced communities throughout Scotland as all sharing a Scottish identity originating in a Celtic past. Scottish identity was no longer used to unify internally disparate groups and therefore no longer needed to base itself in folk culture for this purpose.</w:t>
      </w:r>
    </w:p>
    <w:p w14:paraId="432AA338" w14:textId="77777777" w:rsidR="00961436" w:rsidRDefault="00961436" w:rsidP="00961436">
      <w:pPr>
        <w:spacing w:line="480" w:lineRule="auto"/>
        <w:ind w:firstLine="720"/>
      </w:pPr>
      <w:r>
        <w:t>As folk culture faded into the background, those who reconstructed Scottish identity during the 1960s and 1970s put greater emphasis on history and literature. Attempts to create a cohesive national narrative, often of resistance, stretching back hundreds of years, exemplified the focus on history in a reconstructed Scottish identity. According to Nigel Tranter, “the birth of [Scottish] national consciousness can probably be traced back to the ninth century, when the Picts and Scots united.”</w:t>
      </w:r>
      <w:r>
        <w:rPr>
          <w:rStyle w:val="FootnoteReference"/>
        </w:rPr>
        <w:footnoteReference w:id="143"/>
      </w:r>
      <w:r>
        <w:t xml:space="preserve"> Politicians, too, shared this impulse to utilize history as a grounding stone for national identity. Wolfe wrote of the fraternal nature of Scottish people, which he located in “pre-Scottish Caledonia” and Robert Burns.</w:t>
      </w:r>
      <w:r>
        <w:rPr>
          <w:rStyle w:val="FootnoteReference"/>
        </w:rPr>
        <w:footnoteReference w:id="144"/>
      </w:r>
      <w:r>
        <w:t xml:space="preserve"> Members of the SNP followed their early successes with appeals to Scottish history. At the gathering at Bannockburn after their first general election win, Wolfe wrote that “at the foot of . . . [the] statue of Robert the Bruce, the feeling was of a family gathering.”</w:t>
      </w:r>
      <w:r>
        <w:rPr>
          <w:rStyle w:val="FootnoteReference"/>
        </w:rPr>
        <w:footnoteReference w:id="145"/>
      </w:r>
      <w:r>
        <w:t xml:space="preserve"> Here Wolfe made a very traditional nationalist appeal. Anderson writes of this kind of appeal in the way nationalists construct, or in this case reconstruct, the nation as ancient in origin.</w:t>
      </w:r>
      <w:r>
        <w:rPr>
          <w:rStyle w:val="FootnoteReference"/>
        </w:rPr>
        <w:footnoteReference w:id="146"/>
      </w:r>
      <w:r>
        <w:t xml:space="preserve"> Wolfe created this ancient origin by linking a famous and victorious historical moment – the triumph of Robert the Bruce over Edward I of </w:t>
      </w:r>
      <w:r>
        <w:lastRenderedPageBreak/>
        <w:t xml:space="preserve">England – to the modern nation and then equated the nation to a family. By doing so, Wolfe grounded Scottish identity in history. </w:t>
      </w:r>
    </w:p>
    <w:p w14:paraId="55C46D64" w14:textId="77777777" w:rsidR="00961436" w:rsidRDefault="00961436" w:rsidP="00961436">
      <w:pPr>
        <w:spacing w:line="480" w:lineRule="auto"/>
        <w:ind w:firstLine="720"/>
      </w:pPr>
      <w:r>
        <w:t>In the late 1950s, through the actions of nationalists, the Stone of Destiny and its symbolic importance reentered public consciousness. As Keith Webb writes, the Stone of Destiny was part of the coronation ceremony of ancient Scottish kings. However, it was stolen by Edward I during his war with Robert the Bruce.</w:t>
      </w:r>
      <w:r>
        <w:rPr>
          <w:rStyle w:val="FootnoteReference"/>
        </w:rPr>
        <w:footnoteReference w:id="147"/>
      </w:r>
      <w:r>
        <w:t xml:space="preserve"> </w:t>
      </w:r>
      <w:proofErr w:type="spellStart"/>
      <w:r>
        <w:t>MacCormick</w:t>
      </w:r>
      <w:proofErr w:type="spellEnd"/>
      <w:r>
        <w:t xml:space="preserve"> gave an account of the mission to reclaim it, which he actively participated in and helped to coordinate, in his memoirs. A group of Edinburgh University students hatched a plan to steal the Stone and bring it back to Scotland. Remarkably, they were successful. What was particularly revealing were the circumstances around the Stone’s time in hiding in Scotland as well as the reasons behind the whole plot. When </w:t>
      </w:r>
      <w:proofErr w:type="spellStart"/>
      <w:r>
        <w:t>MacCormick</w:t>
      </w:r>
      <w:proofErr w:type="spellEnd"/>
      <w:r>
        <w:t xml:space="preserve"> described the reasons for stealing the Stone, historic resonance took center stage. As he wrote, “we saw the Stone, not as an object of superstitious awe, but as a symbolic instrument to remind a whole people of their nationhood.”</w:t>
      </w:r>
      <w:r>
        <w:rPr>
          <w:rStyle w:val="FootnoteReference"/>
        </w:rPr>
        <w:footnoteReference w:id="148"/>
      </w:r>
      <w:r>
        <w:t xml:space="preserve"> He described using the Stone to stir in “a whole people their nationhood” or raise their awareness of their national identity. In this event, nationalists took a piece of Scottish history, which had not been resident in Scotland for hundreds of years, and explicitly connected it to Scottish national identity to reconstruct a contemporary version thereof. </w:t>
      </w:r>
    </w:p>
    <w:p w14:paraId="6BA56B32" w14:textId="77777777" w:rsidR="00961436" w:rsidRDefault="00961436" w:rsidP="00961436">
      <w:pPr>
        <w:spacing w:line="480" w:lineRule="auto"/>
        <w:ind w:firstLine="720"/>
      </w:pPr>
      <w:r>
        <w:t xml:space="preserve">In addition to the explicit public purpose of the Stone’s theft, the actions of those who kept in while it was in Scotland reveal how deeply the connection between history and identity was felt. </w:t>
      </w:r>
      <w:proofErr w:type="spellStart"/>
      <w:r>
        <w:t>MacCormick</w:t>
      </w:r>
      <w:proofErr w:type="spellEnd"/>
      <w:r>
        <w:t xml:space="preserve"> wrote that during the quests to find a secure place to hide the Stone in Scotland, “it has always seemed to me that something of the old spirit of the ’45 came back to </w:t>
      </w:r>
      <w:r>
        <w:lastRenderedPageBreak/>
        <w:t>life in Scotland at that time.”</w:t>
      </w:r>
      <w:r>
        <w:rPr>
          <w:rStyle w:val="FootnoteReference"/>
        </w:rPr>
        <w:footnoteReference w:id="149"/>
      </w:r>
      <w:r>
        <w:t xml:space="preserve"> Here, </w:t>
      </w:r>
      <w:proofErr w:type="spellStart"/>
      <w:r>
        <w:t>MacCormick</w:t>
      </w:r>
      <w:proofErr w:type="spellEnd"/>
      <w:r>
        <w:t xml:space="preserve"> referred to the flight of Bonnie Prince Charlie after his loss at Culloden with his Jacobite forces from the Highlands back to France in 1745-46. His journey took him through the Isle of Skye, an island off the western shore of Scotland, and relied on the kindness and support of many Highland communities. Much as Charlie sought refuge in the home of many Jacobite Highlanders, so too did </w:t>
      </w:r>
      <w:proofErr w:type="spellStart"/>
      <w:r>
        <w:t>MacCormick</w:t>
      </w:r>
      <w:proofErr w:type="spellEnd"/>
      <w:r>
        <w:t xml:space="preserve"> seek refuge for the Stone in a sympathetic Scottish home. Here, he linked the Stone to more recent Scottish history, again an act of rebelling against the English. In this case, however, he claimed that the Stone </w:t>
      </w:r>
      <w:proofErr w:type="gramStart"/>
      <w:r>
        <w:t>actually revived</w:t>
      </w:r>
      <w:proofErr w:type="gramEnd"/>
      <w:r>
        <w:t xml:space="preserve"> a dead part of Scottish identity, “the old spirit of the ’45,” and therefore brought contemporary Scots closer to their true, historically based, identity. Unfortunately, the Stone was eventually turned over to the police and taken back to England. However, linking the Stone and its history to Scottish identity seemed to have struck a chord with the Scottish population; the whole affair of bringing the Stone back was met with approval from most Scots.</w:t>
      </w:r>
      <w:r>
        <w:rPr>
          <w:rStyle w:val="FootnoteReference"/>
        </w:rPr>
        <w:footnoteReference w:id="150"/>
      </w:r>
      <w:r>
        <w:t xml:space="preserve"> Thereafter, using history to ground national identity became increasingly mainstream after the 1960s and 1970s. According to </w:t>
      </w:r>
      <w:proofErr w:type="spellStart"/>
      <w:r>
        <w:t>Pittock</w:t>
      </w:r>
      <w:proofErr w:type="spellEnd"/>
      <w:r>
        <w:t>, “Scottish society was increasingly being performed by those able to revisit the past without irony to show their commitment to the present.”</w:t>
      </w:r>
      <w:r>
        <w:rPr>
          <w:rStyle w:val="FootnoteReference"/>
        </w:rPr>
        <w:footnoteReference w:id="151"/>
      </w:r>
      <w:r>
        <w:t xml:space="preserve"> Through the shift in the 1960s and 1970s, as appeals to history became an integral part of Scottish national identity one thing remained the same: it was reformulated in opposition to English identity.</w:t>
      </w:r>
    </w:p>
    <w:p w14:paraId="440E3D26" w14:textId="77777777" w:rsidR="00961436" w:rsidRPr="00195B6E" w:rsidRDefault="00961436" w:rsidP="00961436">
      <w:pPr>
        <w:spacing w:line="480" w:lineRule="auto"/>
        <w:ind w:firstLine="720"/>
      </w:pPr>
      <w:proofErr w:type="gramStart"/>
      <w:r>
        <w:t>In the course of</w:t>
      </w:r>
      <w:proofErr w:type="gramEnd"/>
      <w:r>
        <w:t xml:space="preserve"> this shift, Scottish national identity began to resemble Flemish and Walloon identity much more closely. Because those constructing Scottish identity no longer </w:t>
      </w:r>
      <w:r>
        <w:lastRenderedPageBreak/>
        <w:t xml:space="preserve">needed to unify internal groups, they chose to focus more closely on something that presented Scotland and Scottish identity as clearly distinct. </w:t>
      </w:r>
      <w:proofErr w:type="gramStart"/>
      <w:r>
        <w:t>In the course of</w:t>
      </w:r>
      <w:proofErr w:type="gramEnd"/>
      <w:r>
        <w:t xml:space="preserve"> this work, some people explicitly looked to Belgium for inspiration and guidance. MacDiarmid was one such person, due in part to his connection to a revival of Scottish literature. He believed that, “What Belgium did, Scotland can do.”</w:t>
      </w:r>
      <w:r>
        <w:rPr>
          <w:rStyle w:val="FootnoteReference"/>
        </w:rPr>
        <w:footnoteReference w:id="152"/>
      </w:r>
      <w:r>
        <w:t xml:space="preserve"> </w:t>
      </w:r>
      <w:proofErr w:type="gramStart"/>
      <w:r>
        <w:t>In particular, he</w:t>
      </w:r>
      <w:proofErr w:type="gramEnd"/>
      <w:r>
        <w:t xml:space="preserve"> referred to the use of literature to support language in Flanders, much as he strove to use literature to support both Scots and Gaelic in Scotland. This explicit connection between the situation in Scotland and Belgium only reinforced how the refocusing and reconstruction of Scottish identity in the 1960s and 1970s took place in only one direction – although along two tracks – instead of the two directions it did in the mid nineteenth century.</w:t>
      </w:r>
    </w:p>
    <w:p w14:paraId="714CA881" w14:textId="77777777" w:rsidR="00961436" w:rsidRDefault="00961436" w:rsidP="00961436">
      <w:pPr>
        <w:spacing w:line="480" w:lineRule="auto"/>
        <w:rPr>
          <w:b/>
        </w:rPr>
      </w:pPr>
      <w:r>
        <w:rPr>
          <w:b/>
        </w:rPr>
        <w:t>Korea</w:t>
      </w:r>
    </w:p>
    <w:p w14:paraId="24E94491" w14:textId="77777777" w:rsidR="00961436" w:rsidRPr="00B870BC" w:rsidRDefault="00961436" w:rsidP="00961436">
      <w:pPr>
        <w:spacing w:line="480" w:lineRule="auto"/>
      </w:pPr>
      <w:r>
        <w:tab/>
        <w:t xml:space="preserve">In South Korea during the 1970s and 1980s, one sound always stirred a reaction – drums. The sound of traditional drumming, known as </w:t>
      </w:r>
      <w:proofErr w:type="spellStart"/>
      <w:r>
        <w:rPr>
          <w:i/>
        </w:rPr>
        <w:t>p’ungmul</w:t>
      </w:r>
      <w:proofErr w:type="spellEnd"/>
      <w:r>
        <w:t>, signaled one thing as it reverberated through cities across the country – a protest. Throughout the two decades, protests calling for democracy wracked the South Korean government, eventually leading to a transition to democracy in 1989. During this period, the role of folk culture in the reconstruction of Korean identity became a critical point of contention between the South Korean government and protestors.</w:t>
      </w:r>
    </w:p>
    <w:p w14:paraId="23F83124" w14:textId="1A98CD30" w:rsidR="00961436" w:rsidRDefault="00961436" w:rsidP="00961436">
      <w:pPr>
        <w:spacing w:line="480" w:lineRule="auto"/>
        <w:ind w:firstLine="720"/>
      </w:pPr>
      <w:r>
        <w:t>This section explores the uses of folk culture in both North and South Korea in the 1970s and 1980s. In North Korea, the g</w:t>
      </w:r>
      <w:r w:rsidR="00A847E7">
        <w:t>overnment used</w:t>
      </w:r>
      <w:r>
        <w:t xml:space="preserve"> folk culture </w:t>
      </w:r>
      <w:proofErr w:type="gramStart"/>
      <w:r>
        <w:t>for the purpose of</w:t>
      </w:r>
      <w:proofErr w:type="gramEnd"/>
      <w:r>
        <w:t xml:space="preserve"> reunification and tourism, whereas in South Korea, the government used it to prove its legitimacy as well as to lay sole claim to Korean identity internationally. Protestors calling for democracy in South Korea </w:t>
      </w:r>
      <w:r>
        <w:lastRenderedPageBreak/>
        <w:t>during the 1970s and 1980s utilized folk culture in a third way, to connect to the people and find the root of the Korean nation, upon which they built their opposition movement. In the 1970s and 1980s, people in both Korean states continued to use folk culture to unify groups internally and to construct identity in opposition to an external Other.</w:t>
      </w:r>
    </w:p>
    <w:p w14:paraId="0381E9FB" w14:textId="6D4BDFD5" w:rsidR="00961436" w:rsidRDefault="00961436" w:rsidP="00961436">
      <w:pPr>
        <w:spacing w:line="480" w:lineRule="auto"/>
      </w:pPr>
      <w:r>
        <w:tab/>
        <w:t>Before beginning the discussion of folk culture in North and South Korea in the 1970s and 1980s, background on the peninsula after World War II is required to understand the broader social and political context that influenced the use of folk culture in both states. After World War II, the Korean peninsula was occupied by two forces: the southern part below the 38</w:t>
      </w:r>
      <w:r w:rsidRPr="0018637D">
        <w:rPr>
          <w:vertAlign w:val="superscript"/>
        </w:rPr>
        <w:t>th</w:t>
      </w:r>
      <w:r>
        <w:t xml:space="preserve"> parallel by the United States and the northern part by the Soviet Union. These two forces also collectively liberated the entire peninsula from Japanese control, but their separation of the country, solidified by the refusal of Korean leaders in the North to allow a country-wide UN monitored election in 1948, provided the immediate origins of the division of the peninsula that continues today.</w:t>
      </w:r>
      <w:r>
        <w:rPr>
          <w:rStyle w:val="FootnoteReference"/>
        </w:rPr>
        <w:footnoteReference w:id="153"/>
      </w:r>
      <w:r>
        <w:t xml:space="preserve"> This division was solidified during the Korean War </w:t>
      </w:r>
      <w:r w:rsidR="00F42BB2">
        <w:t>(</w:t>
      </w:r>
      <w:r>
        <w:t>1950-1953</w:t>
      </w:r>
      <w:r w:rsidR="00F42BB2">
        <w:t>)</w:t>
      </w:r>
      <w:r>
        <w:t>. The ideological differences between the two states – professed liberal democracy in the South and communism in the North – are not only a microcosm of the Cold War but also became the basis for the relationship between the two states.</w:t>
      </w:r>
    </w:p>
    <w:p w14:paraId="29F9E2A1" w14:textId="77777777" w:rsidR="00961436" w:rsidRDefault="00961436" w:rsidP="00961436">
      <w:pPr>
        <w:spacing w:line="480" w:lineRule="auto"/>
      </w:pPr>
      <w:r>
        <w:tab/>
        <w:t>In North Korea, folk culture is, like many other aspects of life, monopolized by the government and deployed for their benefit. Folk culture is especially utilized around ideas of reunification of the Korean peninsula and the Korean nation. Two songs often sung to visitors to North Korea, especially South Koreans or members of the Korean diaspora, reflect this impulse. The song sung upon arrival in North Korea speaks of the joy of meeting:</w:t>
      </w:r>
    </w:p>
    <w:p w14:paraId="727806EA" w14:textId="77777777" w:rsidR="00961436" w:rsidRDefault="00961436" w:rsidP="00961436">
      <w:r>
        <w:tab/>
        <w:t>Fellow comrades, fellow brethren</w:t>
      </w:r>
    </w:p>
    <w:p w14:paraId="01AE2357" w14:textId="77777777" w:rsidR="00961436" w:rsidRDefault="00961436" w:rsidP="00961436">
      <w:r>
        <w:lastRenderedPageBreak/>
        <w:tab/>
        <w:t>Meeting like this, welcome</w:t>
      </w:r>
    </w:p>
    <w:p w14:paraId="108E7C7A" w14:textId="77777777" w:rsidR="00961436" w:rsidRDefault="00961436" w:rsidP="00961436">
      <w:r>
        <w:tab/>
        <w:t>Oh, these smiles that I love and embrace</w:t>
      </w:r>
    </w:p>
    <w:p w14:paraId="454A0CD2" w14:textId="77777777" w:rsidR="00961436" w:rsidRDefault="00961436" w:rsidP="00961436">
      <w:r>
        <w:tab/>
        <w:t>Oh, these tears that I love and embrace</w:t>
      </w:r>
    </w:p>
    <w:p w14:paraId="44DA9D1F" w14:textId="77777777" w:rsidR="00961436" w:rsidRDefault="00961436" w:rsidP="00961436">
      <w:r>
        <w:tab/>
        <w:t xml:space="preserve">Oh, ho, ho, oh, ho, ho, ho </w:t>
      </w:r>
      <w:proofErr w:type="spellStart"/>
      <w:r>
        <w:t>nilliriya</w:t>
      </w:r>
      <w:proofErr w:type="spellEnd"/>
    </w:p>
    <w:p w14:paraId="11CA7705" w14:textId="77777777" w:rsidR="00961436" w:rsidRDefault="00961436" w:rsidP="00961436">
      <w:r>
        <w:tab/>
        <w:t>Welcome, welcome</w:t>
      </w:r>
    </w:p>
    <w:p w14:paraId="1F44BC9B" w14:textId="77777777" w:rsidR="00961436" w:rsidRDefault="00961436" w:rsidP="00961436">
      <w:r>
        <w:tab/>
        <w:t>Welcome, welcome</w:t>
      </w:r>
    </w:p>
    <w:p w14:paraId="2B044C38" w14:textId="77777777" w:rsidR="00961436" w:rsidRDefault="00961436" w:rsidP="00961436">
      <w:r>
        <w:tab/>
        <w:t>Fellow comrades, fellow brethren</w:t>
      </w:r>
    </w:p>
    <w:p w14:paraId="5EECC5E0" w14:textId="77777777" w:rsidR="00961436" w:rsidRDefault="00961436" w:rsidP="00961436">
      <w:r>
        <w:tab/>
        <w:t>There’s a warm feeling for our homeland in our soul</w:t>
      </w:r>
    </w:p>
    <w:p w14:paraId="3C7011CB" w14:textId="77777777" w:rsidR="00961436" w:rsidRDefault="00961436" w:rsidP="00961436">
      <w:pPr>
        <w:spacing w:line="480" w:lineRule="auto"/>
      </w:pPr>
      <w:r>
        <w:tab/>
        <w:t>The festive time of reunification is not far.</w:t>
      </w:r>
      <w:r>
        <w:rPr>
          <w:rStyle w:val="FootnoteReference"/>
        </w:rPr>
        <w:footnoteReference w:id="154"/>
      </w:r>
    </w:p>
    <w:p w14:paraId="32677668" w14:textId="77777777" w:rsidR="00961436" w:rsidRDefault="00961436" w:rsidP="00961436">
      <w:pPr>
        <w:spacing w:line="480" w:lineRule="auto"/>
      </w:pPr>
      <w:r>
        <w:t>This song speaks of reunification, not just of people and families but of a nation. It welcomes visitors to North Korea, welcoming them into the state. In the context of constructing Korean identity, this is important because it points to one main way that both North and South Korea utilized folk culture – to lay claim to the ‘true’ form of Korean identity.</w:t>
      </w:r>
      <w:r>
        <w:rPr>
          <w:rStyle w:val="FootnoteReference"/>
        </w:rPr>
        <w:footnoteReference w:id="155"/>
      </w:r>
      <w:r>
        <w:t xml:space="preserve"> The two states, having never accepted the legitimacy of the other, continued to compete to claim the right to truly represent the Korean nation and Korean identity, both to those living on the Korean peninsula and abroad. When the welcoming song speaks of “a warm feeling for our homeland in our soul,” it explicitly connects the homeland and identity. This can be interpreted as a claim to represent the legitimate government and identity of Koreans. Therefore, the welcoming in this song is both a welcoming of reunification and a claim to represent the true way forward for Korea.</w:t>
      </w:r>
    </w:p>
    <w:p w14:paraId="46364F91" w14:textId="77777777" w:rsidR="00961436" w:rsidRDefault="00961436" w:rsidP="00961436">
      <w:pPr>
        <w:spacing w:line="480" w:lineRule="auto"/>
      </w:pPr>
      <w:r>
        <w:tab/>
        <w:t xml:space="preserve">In addition to welcoming visitors into the ‘true’ Korean nation, visitors to North Korea are also bid farewell through folk song. One song, titled </w:t>
      </w:r>
      <w:proofErr w:type="spellStart"/>
      <w:r>
        <w:rPr>
          <w:i/>
        </w:rPr>
        <w:t>Tasi</w:t>
      </w:r>
      <w:proofErr w:type="spellEnd"/>
      <w:r>
        <w:rPr>
          <w:i/>
        </w:rPr>
        <w:t xml:space="preserve"> </w:t>
      </w:r>
      <w:proofErr w:type="spellStart"/>
      <w:r>
        <w:rPr>
          <w:i/>
        </w:rPr>
        <w:t>Mannapsida</w:t>
      </w:r>
      <w:proofErr w:type="spellEnd"/>
      <w:r>
        <w:t xml:space="preserve"> (Let’s Meet Again) exemplifies this type of song:</w:t>
      </w:r>
    </w:p>
    <w:p w14:paraId="2C975B13" w14:textId="77777777" w:rsidR="00961436" w:rsidRDefault="00961436" w:rsidP="00961436">
      <w:r>
        <w:tab/>
        <w:t xml:space="preserve">From Mt. </w:t>
      </w:r>
      <w:proofErr w:type="spellStart"/>
      <w:r>
        <w:t>Paektu</w:t>
      </w:r>
      <w:proofErr w:type="spellEnd"/>
      <w:r>
        <w:t xml:space="preserve"> to Mt. </w:t>
      </w:r>
      <w:proofErr w:type="spellStart"/>
      <w:r>
        <w:t>Halla</w:t>
      </w:r>
      <w:proofErr w:type="spellEnd"/>
      <w:r>
        <w:t>, we are one people</w:t>
      </w:r>
    </w:p>
    <w:p w14:paraId="458DA2DF" w14:textId="77777777" w:rsidR="00961436" w:rsidRDefault="00961436" w:rsidP="00961436">
      <w:r>
        <w:tab/>
        <w:t xml:space="preserve">How long has it been since </w:t>
      </w:r>
      <w:proofErr w:type="gramStart"/>
      <w:r>
        <w:t>separating,</w:t>
      </w:r>
      <w:proofErr w:type="gramEnd"/>
    </w:p>
    <w:p w14:paraId="65AE1CFA" w14:textId="77777777" w:rsidR="00961436" w:rsidRDefault="00961436" w:rsidP="00961436">
      <w:r>
        <w:tab/>
        <w:t>How many tears have been shed</w:t>
      </w:r>
    </w:p>
    <w:p w14:paraId="639A8619" w14:textId="77777777" w:rsidR="00961436" w:rsidRDefault="00961436" w:rsidP="00961436">
      <w:r>
        <w:tab/>
        <w:t>But go well, we will meet again</w:t>
      </w:r>
    </w:p>
    <w:p w14:paraId="3A1760C6" w14:textId="77777777" w:rsidR="00961436" w:rsidRDefault="00961436" w:rsidP="00961436">
      <w:r>
        <w:tab/>
        <w:t>While crying one’s voice out</w:t>
      </w:r>
    </w:p>
    <w:p w14:paraId="2DE850CA" w14:textId="77777777" w:rsidR="00961436" w:rsidRDefault="00961436" w:rsidP="00961436">
      <w:pPr>
        <w:spacing w:line="480" w:lineRule="auto"/>
      </w:pPr>
      <w:r>
        <w:lastRenderedPageBreak/>
        <w:tab/>
        <w:t>Farewell, we will meet again.</w:t>
      </w:r>
      <w:r>
        <w:rPr>
          <w:rStyle w:val="FootnoteReference"/>
        </w:rPr>
        <w:footnoteReference w:id="156"/>
      </w:r>
    </w:p>
    <w:p w14:paraId="44702C73" w14:textId="77777777" w:rsidR="00961436" w:rsidRDefault="00961436" w:rsidP="00961436">
      <w:pPr>
        <w:spacing w:line="480" w:lineRule="auto"/>
      </w:pPr>
      <w:proofErr w:type="gramStart"/>
      <w:r>
        <w:t>Similar to</w:t>
      </w:r>
      <w:proofErr w:type="gramEnd"/>
      <w:r>
        <w:t xml:space="preserve"> the greeting song above, this song explicitly references reunification and the Korea nation. This song expresses the deep emotion felt at the division of the Korean peninsula and the longing for reunification. Because of this emotion in the song, the North Korean government utilized it to call for reunification. Additionally, the song evokes the Korean nation when claiming “we are one people.” </w:t>
      </w:r>
      <w:proofErr w:type="gramStart"/>
      <w:r>
        <w:t>Similar to</w:t>
      </w:r>
      <w:proofErr w:type="gramEnd"/>
      <w:r>
        <w:t xml:space="preserve"> the song above, this line is about North Korea claiming the right to represent all Korean people and the Korean nation more generally. This is part of the goal of internally unifying the Korean nation separated by the Korean War and division. Here, folk song works to unify the Korean nation internally. Additionally, the feeling of longing created by separation, articulated in both songs, is perceived as unique to the Korean nation. That part of the song separates the Korean nation from all others who have not experienced the division of the nation.</w:t>
      </w:r>
    </w:p>
    <w:p w14:paraId="1E66142B" w14:textId="77777777" w:rsidR="00961436" w:rsidRDefault="00961436" w:rsidP="00961436">
      <w:pPr>
        <w:spacing w:line="480" w:lineRule="auto"/>
      </w:pPr>
      <w:r>
        <w:tab/>
        <w:t xml:space="preserve">In South Korea, the period after World War II and up to 1960 saw the rise and authoritarian rule of </w:t>
      </w:r>
      <w:proofErr w:type="spellStart"/>
      <w:r>
        <w:t>Syngman</w:t>
      </w:r>
      <w:proofErr w:type="spellEnd"/>
      <w:r>
        <w:t xml:space="preserve"> Rhee. However, his government was overthrown in 1960 due to massive protests across South Korea; students were especially important in this movement.</w:t>
      </w:r>
      <w:r>
        <w:rPr>
          <w:rStyle w:val="FootnoteReference"/>
        </w:rPr>
        <w:footnoteReference w:id="157"/>
      </w:r>
      <w:r>
        <w:t xml:space="preserve"> This successful overthrow of a regime through protests became an important political touchpoint in the 1970s and 1980s. The democratic transition in 1960 only lasted a year, to 1961, when a military coup installed Park Chung </w:t>
      </w:r>
      <w:proofErr w:type="spellStart"/>
      <w:r>
        <w:t>Hee</w:t>
      </w:r>
      <w:proofErr w:type="spellEnd"/>
      <w:r>
        <w:t xml:space="preserve">, who continued in power in the 1970s when the protest movements covered in this analysis started. However, Park was assassinated in 1979 and Chun Doo-Hwan came to power. He ruled from 1980 until the transition to democracy in 1988. It was in this fraught political environment, in the context of rapid industrialization and social upheaval, </w:t>
      </w:r>
      <w:r>
        <w:lastRenderedPageBreak/>
        <w:t>that folk culture continued to be deployed by various actors to reconstruct national identity in South Korea.</w:t>
      </w:r>
    </w:p>
    <w:p w14:paraId="4D2067AC" w14:textId="77777777" w:rsidR="00961436" w:rsidRDefault="00961436" w:rsidP="00961436">
      <w:pPr>
        <w:spacing w:line="480" w:lineRule="auto"/>
        <w:ind w:firstLine="720"/>
      </w:pPr>
      <w:r>
        <w:t>The South Korean government utilized folk culture in similar ways to the North Korean government. It used folk culture to unify the nation, to assert a distinct national identity, and to lay claim to the role of representing this identity. As part of this project, the South Korean government also used folk culture to legitimize its rule. This process truly began in the 1960s, when intellectuals and officials began to decry a precipitous decline in Korea’s folk culture.</w:t>
      </w:r>
      <w:r>
        <w:rPr>
          <w:rStyle w:val="FootnoteReference"/>
        </w:rPr>
        <w:footnoteReference w:id="158"/>
      </w:r>
      <w:r>
        <w:t xml:space="preserve"> Therefore, these intellectuals and officials organized efforts to both revive and preserve aspects of “traditional” or “folk” culture in South Korea. One such effort was the creation of the government program of Intangible Cultural Properties. These Properties could be both objects as well as people who embody the best practice of a </w:t>
      </w:r>
      <w:proofErr w:type="gramStart"/>
      <w:r>
        <w:t>particular craft</w:t>
      </w:r>
      <w:proofErr w:type="gramEnd"/>
      <w:r>
        <w:t xml:space="preserve"> or aspect of folk culture.</w:t>
      </w:r>
      <w:r>
        <w:rPr>
          <w:rStyle w:val="FootnoteReference"/>
        </w:rPr>
        <w:footnoteReference w:id="159"/>
      </w:r>
      <w:r>
        <w:t xml:space="preserve"> Through the official government designation, aspects of folk culture were preserved in a fashion believed to be most ‘authentic’. In the 1980s, the Korean government published multiple books, in English, about Korean history and culture in a series called </w:t>
      </w:r>
      <w:r>
        <w:rPr>
          <w:i/>
        </w:rPr>
        <w:t>Focus on Korea</w:t>
      </w:r>
      <w:r>
        <w:t>. One of these books focused, in large part, on the folk culture of Korea. Looking at the way the government presented folk culture for an explicitly foreign audience lends insight into how the government deployed folk culture.</w:t>
      </w:r>
    </w:p>
    <w:p w14:paraId="6F361835" w14:textId="77777777" w:rsidR="00961436" w:rsidRDefault="00961436" w:rsidP="00961436">
      <w:pPr>
        <w:spacing w:line="480" w:lineRule="auto"/>
      </w:pPr>
      <w:r>
        <w:tab/>
        <w:t xml:space="preserve">The book consistently blamed Japanese imperialism for the decline of Korean folk culture. In the section on court music, the authors wrote of how “Korean court music became nonfunctional and folk music was discouraged by the authorities as it encouraged strong national </w:t>
      </w:r>
      <w:r>
        <w:lastRenderedPageBreak/>
        <w:t>identity.”</w:t>
      </w:r>
      <w:r>
        <w:rPr>
          <w:rStyle w:val="FootnoteReference"/>
        </w:rPr>
        <w:footnoteReference w:id="160"/>
      </w:r>
      <w:r>
        <w:t xml:space="preserve"> The first step here was to blame Japanese imperialism for the decline in court music and folk music during the first half of the twentieth century. This built on the narrative of resistance to Japanese rule being the basis of legitimacy of both Korean governments in the post-World War II era. Additionally, the authors explicitly linked folk music with “strong national identity,” which allowed the South Korean government to link its promotion of folk music with promotion of national identity. Here, the government clearly articulated its position that folk music was critical to national identity and the legacy of resistance.</w:t>
      </w:r>
    </w:p>
    <w:p w14:paraId="094BAA95" w14:textId="77777777" w:rsidR="00961436" w:rsidRDefault="00961436" w:rsidP="00961436">
      <w:pPr>
        <w:spacing w:line="480" w:lineRule="auto"/>
      </w:pPr>
      <w:r>
        <w:tab/>
        <w:t>The authors used this same technique when writing about folk dance. The book asserted that “the Japanese occupation encouraged the decline of Korea’s popular traditional dances as they contributed to national identity.”</w:t>
      </w:r>
      <w:r>
        <w:rPr>
          <w:rStyle w:val="FootnoteReference"/>
        </w:rPr>
        <w:footnoteReference w:id="161"/>
      </w:r>
      <w:r>
        <w:t xml:space="preserve"> </w:t>
      </w:r>
      <w:proofErr w:type="gramStart"/>
      <w:r>
        <w:t>Similar to</w:t>
      </w:r>
      <w:proofErr w:type="gramEnd"/>
      <w:r>
        <w:t xml:space="preserve"> the way Japanese imperialism was blamed for the decline of folk music, the same link was made regarding folk dance. The authors also presented folk dance as a critical component of national identity. Therefore, promotion of folk dance was also integral to promotion of Korean national identity. Folk dance was specifically seen as critical to a true conception of Korean identity because “these dances are closest to the ancient roots of the Korean people.”</w:t>
      </w:r>
      <w:r>
        <w:rPr>
          <w:rStyle w:val="FootnoteReference"/>
        </w:rPr>
        <w:footnoteReference w:id="162"/>
      </w:r>
      <w:r>
        <w:t xml:space="preserve"> Here, folk dances were given a legitimate position in Korean national identity not just because of their connection to resistance against Japanese rule, but also because of their perceived authenticity and ancient roots. As discussed in previous chapters, the search for authentic and ancient roots was a key part of the construction of national identity, and this exemplifies how folk culture fit into that construction in South Korea. In this </w:t>
      </w:r>
      <w:r>
        <w:lastRenderedPageBreak/>
        <w:t>phase, however, the relevance of recent history became more important and laid the foundation for the new ways folk culture was deployed in the reconstruction of Korean identity.</w:t>
      </w:r>
    </w:p>
    <w:p w14:paraId="36DBDD63" w14:textId="77777777" w:rsidR="00961436" w:rsidRDefault="00961436" w:rsidP="00961436">
      <w:pPr>
        <w:spacing w:line="480" w:lineRule="auto"/>
      </w:pPr>
      <w:r>
        <w:tab/>
        <w:t>This focus on linking folk music and dance to resistance and national identity allowed the South Korean government to lay claim to both legitimacy of rule and representation of the Korean nation in opposition to the North Korean government. First, by explicitly linking promotion of folk music and dance to promotion of national identity, the South Korean government claimed responsibility for the promotion and construction of Korean identity through the Intangible Cultural Properties. Since many of these Intangible Cultural Properties were also linked to resistance to Japanese rule, the basis of political legitimacy on the Korean peninsula after World War II, the South Korean government also utilized the Intangible Cultural Properties program to claim legitimacy of rule, even in the face of demonstrations calling for democracy. Finally, by supporting Intangible Cultural Properties, the South Korean government claimed to be the true representative of Korean national identity both on the Korean peninsula and abroad. Therefore, folk culture allowed the South Korean government to both internally unify the Korean nation as well as articulate a unique Korean identity to foreign audiences.</w:t>
      </w:r>
    </w:p>
    <w:p w14:paraId="2BC8EED7" w14:textId="77777777" w:rsidR="00961436" w:rsidRDefault="00961436" w:rsidP="00961436">
      <w:pPr>
        <w:spacing w:line="480" w:lineRule="auto"/>
      </w:pPr>
      <w:r>
        <w:tab/>
        <w:t>While the South Korean government claimed use of folk culture, there were protests in South Korea against the authoritarian government and for democracy throughout the 1970s and 1980s. Students and labor activists played a large role in these protests, which often used folk music to reconstruct a Korean identity that challenged both the official identity advanced by the government, and that regime’s very legitimacy as a representative of the Korean people.</w:t>
      </w:r>
    </w:p>
    <w:p w14:paraId="567F79B5" w14:textId="77777777" w:rsidR="00961436" w:rsidRDefault="00961436" w:rsidP="00961436">
      <w:pPr>
        <w:spacing w:line="480" w:lineRule="auto"/>
        <w:ind w:firstLine="720"/>
      </w:pPr>
      <w:r>
        <w:lastRenderedPageBreak/>
        <w:t xml:space="preserve">The protest movement against both the Park and Chun administrations in the 1970s and 1980s are commonly known as the </w:t>
      </w:r>
      <w:proofErr w:type="spellStart"/>
      <w:r w:rsidRPr="0027685D">
        <w:rPr>
          <w:i/>
        </w:rPr>
        <w:t>minjung</w:t>
      </w:r>
      <w:proofErr w:type="spellEnd"/>
      <w:r>
        <w:t xml:space="preserve"> movement.</w:t>
      </w:r>
      <w:r>
        <w:rPr>
          <w:rStyle w:val="FootnoteReference"/>
        </w:rPr>
        <w:footnoteReference w:id="163"/>
      </w:r>
      <w:r>
        <w:t xml:space="preserve"> This movement, in part, sought to “[identify] the </w:t>
      </w:r>
      <w:proofErr w:type="spellStart"/>
      <w:r w:rsidRPr="00870EED">
        <w:t>minjun</w:t>
      </w:r>
      <w:r w:rsidRPr="00B254C7">
        <w:t>g</w:t>
      </w:r>
      <w:proofErr w:type="spellEnd"/>
      <w:r>
        <w:t>, the common people, to be the true subjects of historical development and capable of social change.”</w:t>
      </w:r>
      <w:r>
        <w:rPr>
          <w:rStyle w:val="FootnoteReference"/>
        </w:rPr>
        <w:footnoteReference w:id="164"/>
      </w:r>
      <w:r>
        <w:t xml:space="preserve"> As part of this project, the student leaders of the movement utilized the folk culture of the </w:t>
      </w:r>
      <w:proofErr w:type="spellStart"/>
      <w:r>
        <w:rPr>
          <w:i/>
        </w:rPr>
        <w:t>minjung</w:t>
      </w:r>
      <w:proofErr w:type="spellEnd"/>
      <w:r>
        <w:t xml:space="preserve"> in their protests. Protestors often used traditional drumming techniques, known as </w:t>
      </w:r>
      <w:proofErr w:type="spellStart"/>
      <w:r>
        <w:rPr>
          <w:i/>
        </w:rPr>
        <w:t>p’ungmul</w:t>
      </w:r>
      <w:proofErr w:type="spellEnd"/>
      <w:r>
        <w:t xml:space="preserve"> for this goal. As Katherine In-Young Lee writes, “</w:t>
      </w:r>
      <w:proofErr w:type="spellStart"/>
      <w:r>
        <w:rPr>
          <w:i/>
        </w:rPr>
        <w:t>p’ungmul</w:t>
      </w:r>
      <w:proofErr w:type="spellEnd"/>
      <w:r>
        <w:t xml:space="preserve"> – a folk percussion genre associated with ritual peasants and pre-modern Korea – became a sonic marker of dissent in 1980s South Korea.”</w:t>
      </w:r>
      <w:r>
        <w:rPr>
          <w:rStyle w:val="FootnoteReference"/>
        </w:rPr>
        <w:footnoteReference w:id="165"/>
      </w:r>
      <w:r>
        <w:t xml:space="preserve"> During protests, students sought to both connect with and represent the </w:t>
      </w:r>
      <w:proofErr w:type="spellStart"/>
      <w:r>
        <w:rPr>
          <w:i/>
        </w:rPr>
        <w:t>minjung</w:t>
      </w:r>
      <w:proofErr w:type="spellEnd"/>
      <w:r>
        <w:t>. Student protest leaders accomplished this goal “by embracing the performative traditions of the ‘common people’ of Korean history.”</w:t>
      </w:r>
      <w:r>
        <w:rPr>
          <w:rStyle w:val="FootnoteReference"/>
        </w:rPr>
        <w:footnoteReference w:id="166"/>
      </w:r>
      <w:r>
        <w:t xml:space="preserve"> For this, the use of </w:t>
      </w:r>
      <w:proofErr w:type="spellStart"/>
      <w:r>
        <w:rPr>
          <w:i/>
        </w:rPr>
        <w:t>p’ungmul</w:t>
      </w:r>
      <w:proofErr w:type="spellEnd"/>
      <w:r>
        <w:t xml:space="preserve"> was ideal. </w:t>
      </w:r>
      <w:proofErr w:type="spellStart"/>
      <w:r>
        <w:rPr>
          <w:i/>
        </w:rPr>
        <w:t>P’ungmul</w:t>
      </w:r>
      <w:proofErr w:type="spellEnd"/>
      <w:r>
        <w:t xml:space="preserve"> was closely associated with rural and peasant life in Korea for its entire history, into the 1980s when students began to take more of an interest in the genre.</w:t>
      </w:r>
      <w:r>
        <w:rPr>
          <w:rStyle w:val="FootnoteReference"/>
        </w:rPr>
        <w:footnoteReference w:id="167"/>
      </w:r>
      <w:r>
        <w:t xml:space="preserve"> Therefore, </w:t>
      </w:r>
      <w:proofErr w:type="spellStart"/>
      <w:r>
        <w:rPr>
          <w:i/>
        </w:rPr>
        <w:t>p’ungmul</w:t>
      </w:r>
      <w:proofErr w:type="spellEnd"/>
      <w:r>
        <w:t xml:space="preserve"> was an ideal genre to allow students to connect with farmers and peasants. </w:t>
      </w:r>
    </w:p>
    <w:p w14:paraId="736CF928" w14:textId="77777777" w:rsidR="00961436" w:rsidRDefault="00961436" w:rsidP="00961436">
      <w:pPr>
        <w:spacing w:line="480" w:lineRule="auto"/>
      </w:pPr>
      <w:r>
        <w:tab/>
        <w:t xml:space="preserve">Students viewed their use of </w:t>
      </w:r>
      <w:proofErr w:type="spellStart"/>
      <w:r>
        <w:rPr>
          <w:i/>
        </w:rPr>
        <w:t>p’ungmul</w:t>
      </w:r>
      <w:proofErr w:type="spellEnd"/>
      <w:r>
        <w:t xml:space="preserve"> </w:t>
      </w:r>
      <w:proofErr w:type="gramStart"/>
      <w:r>
        <w:t>as a way to</w:t>
      </w:r>
      <w:proofErr w:type="gramEnd"/>
      <w:r>
        <w:t xml:space="preserve"> connect to both the agrarian past and present of Korea as well as to communicate their message of protest. According to one student protestor, “By playing </w:t>
      </w:r>
      <w:proofErr w:type="spellStart"/>
      <w:r>
        <w:t>p’ungmul</w:t>
      </w:r>
      <w:proofErr w:type="spellEnd"/>
      <w:r>
        <w:t xml:space="preserve"> and learning the movements and the rhythms of our nation, our people, and our farmers, we become them. Or rather, we find ourselves.”</w:t>
      </w:r>
      <w:r>
        <w:rPr>
          <w:rStyle w:val="FootnoteReference"/>
        </w:rPr>
        <w:footnoteReference w:id="168"/>
      </w:r>
      <w:r>
        <w:t xml:space="preserve"> As this student </w:t>
      </w:r>
      <w:r>
        <w:lastRenderedPageBreak/>
        <w:t xml:space="preserve">articulated, </w:t>
      </w:r>
      <w:proofErr w:type="spellStart"/>
      <w:r>
        <w:rPr>
          <w:i/>
        </w:rPr>
        <w:t>p’ungmul</w:t>
      </w:r>
      <w:proofErr w:type="spellEnd"/>
      <w:r>
        <w:t xml:space="preserve"> was conceptualized as a way for students to connect to the </w:t>
      </w:r>
      <w:proofErr w:type="spellStart"/>
      <w:r>
        <w:rPr>
          <w:i/>
        </w:rPr>
        <w:t>minjung</w:t>
      </w:r>
      <w:proofErr w:type="spellEnd"/>
      <w:r>
        <w:t xml:space="preserve">. By doing this, students felt as though they found their true selves, truly connecting with the real history and soul of Korea. Therefore, through the performance of </w:t>
      </w:r>
      <w:proofErr w:type="spellStart"/>
      <w:r>
        <w:rPr>
          <w:i/>
        </w:rPr>
        <w:t>p’ungmul</w:t>
      </w:r>
      <w:proofErr w:type="spellEnd"/>
      <w:r>
        <w:t>, students asserted control over the construction of Korean national identity. Additionally, students then used this skill to communicate their message of dissent and protest. According to another student protestor, “as a method for [the] student movement . . . when there are a lot of people [we] try to concentrate the will of the people and be able to show power.”</w:t>
      </w:r>
      <w:r>
        <w:rPr>
          <w:rStyle w:val="FootnoteReference"/>
        </w:rPr>
        <w:footnoteReference w:id="169"/>
      </w:r>
      <w:r>
        <w:t xml:space="preserve"> The student articulated that </w:t>
      </w:r>
      <w:proofErr w:type="spellStart"/>
      <w:r>
        <w:rPr>
          <w:i/>
        </w:rPr>
        <w:t>p’ungmul</w:t>
      </w:r>
      <w:proofErr w:type="spellEnd"/>
      <w:r>
        <w:t xml:space="preserve"> was utilized </w:t>
      </w:r>
      <w:proofErr w:type="gramStart"/>
      <w:r>
        <w:t>as a way to</w:t>
      </w:r>
      <w:proofErr w:type="gramEnd"/>
      <w:r>
        <w:t xml:space="preserve"> communicate the message of the protest as well as to mobilize more people to participate in the protest. </w:t>
      </w:r>
      <w:proofErr w:type="spellStart"/>
      <w:r>
        <w:rPr>
          <w:i/>
        </w:rPr>
        <w:t>P’ungmul</w:t>
      </w:r>
      <w:proofErr w:type="spellEnd"/>
      <w:r>
        <w:t xml:space="preserve"> was effective in this role because of its connection to the </w:t>
      </w:r>
      <w:proofErr w:type="spellStart"/>
      <w:r>
        <w:rPr>
          <w:i/>
        </w:rPr>
        <w:t>minjung</w:t>
      </w:r>
      <w:proofErr w:type="spellEnd"/>
      <w:r>
        <w:t xml:space="preserve">. Through </w:t>
      </w:r>
      <w:proofErr w:type="spellStart"/>
      <w:r>
        <w:rPr>
          <w:i/>
        </w:rPr>
        <w:t>p’ungmul</w:t>
      </w:r>
      <w:proofErr w:type="spellEnd"/>
      <w:r>
        <w:t xml:space="preserve">, student protestors reconstructed a competing vision of Korean identity. Then, they used that identity to assert their own power within in a nominally democratic system. </w:t>
      </w:r>
      <w:proofErr w:type="gramStart"/>
      <w:r>
        <w:t>Through the use of</w:t>
      </w:r>
      <w:proofErr w:type="gramEnd"/>
      <w:r>
        <w:t xml:space="preserve"> folk music, student protestors challenged the legitimacy of the ruling regime and reconstructed their own version of Korean national identity.</w:t>
      </w:r>
    </w:p>
    <w:p w14:paraId="369F5CA8" w14:textId="77777777" w:rsidR="00961436" w:rsidRPr="00243612" w:rsidRDefault="00961436" w:rsidP="00961436">
      <w:pPr>
        <w:spacing w:line="480" w:lineRule="auto"/>
        <w:rPr>
          <w:b/>
        </w:rPr>
      </w:pPr>
      <w:r>
        <w:rPr>
          <w:b/>
        </w:rPr>
        <w:t>Belgium</w:t>
      </w:r>
    </w:p>
    <w:p w14:paraId="1AB26CE1" w14:textId="77777777" w:rsidR="00961436" w:rsidRDefault="00961436" w:rsidP="00961436">
      <w:pPr>
        <w:spacing w:line="480" w:lineRule="auto"/>
      </w:pPr>
      <w:r>
        <w:tab/>
        <w:t>In Flanders, yellow flags with a black lion emblazed on them fly high across the region. This flag is not a symbol of Belgium, it is a symbol of Flanders. In many contexts, it expresses the Flemish identity and allegiance of the region, especially at areas along the border with Brussels or Wallonia. However, in other contexts, far-right nationalist parties utilize the symbol for their own propaganda, often including anti-immigrant and xenophobic sentiments and policies. This duality represents the reconstruction of Flemish identity in the late twentieth century, as well as the Walloon response.</w:t>
      </w:r>
    </w:p>
    <w:p w14:paraId="4A07B108" w14:textId="77777777" w:rsidR="00961436" w:rsidRDefault="00961436" w:rsidP="00961436">
      <w:pPr>
        <w:spacing w:line="480" w:lineRule="auto"/>
        <w:ind w:firstLine="720"/>
      </w:pPr>
      <w:r>
        <w:lastRenderedPageBreak/>
        <w:t xml:space="preserve">As in the earlier construction of identity in Flanders and Wallonia, the presence of </w:t>
      </w:r>
      <w:proofErr w:type="gramStart"/>
      <w:r>
        <w:t>an Other</w:t>
      </w:r>
      <w:proofErr w:type="gramEnd"/>
      <w:r>
        <w:t xml:space="preserve"> to build against remained paramount. However, the identity, and location, of this external Other began to shift in the late twentieth and early twenty-first century. This section explores the rise of xenophobia and anti-immigrant sentiment within articulations of national identity in Flanders and Wallonia in the 1990s and early 2000s.</w:t>
      </w:r>
    </w:p>
    <w:p w14:paraId="241F49B6" w14:textId="77777777" w:rsidR="00961436" w:rsidRDefault="00961436" w:rsidP="00961436">
      <w:pPr>
        <w:spacing w:line="480" w:lineRule="auto"/>
      </w:pPr>
      <w:r>
        <w:tab/>
        <w:t>The development of xenophobia and anti-immigrant rhetoric within Flemish national identity and nationalist movements was not new in the 1980s and 1990s. Looking at the growth of the Flemish Movement in the twentieth century, this development was clearly rooted in the movement’s earlier history. The period from World War I through the end of World War II saw a shift within the Flemish Movement towards the right side of the political spectrum. During World War I and the interwar period, the Flemish Movement began to slowly grow connections with fascist organizations, both within Belgium and throughout Europe.</w:t>
      </w:r>
      <w:r>
        <w:rPr>
          <w:rStyle w:val="FootnoteReference"/>
        </w:rPr>
        <w:footnoteReference w:id="170"/>
      </w:r>
      <w:r>
        <w:t xml:space="preserve"> While this development began slowly, the connections between the Flemish Movement and fascism became much more explicit in World War II. </w:t>
      </w:r>
    </w:p>
    <w:p w14:paraId="5F5BA1BC" w14:textId="5794BE04" w:rsidR="00961436" w:rsidRDefault="00961436" w:rsidP="00961436">
      <w:pPr>
        <w:spacing w:line="480" w:lineRule="auto"/>
        <w:ind w:firstLine="720"/>
      </w:pPr>
      <w:r>
        <w:t>Early in the war, German forces occupied neutral Belgium on their way to France. Under this occupation, Flemish activist</w:t>
      </w:r>
      <w:r w:rsidR="00F42BB2">
        <w:t>s openly worked with the German</w:t>
      </w:r>
      <w:r>
        <w:t xml:space="preserve"> occupiers. Flemish nationalists made this choice because they saw collaboration as an opportunity to secure Flemish independence from Belgium.</w:t>
      </w:r>
      <w:r>
        <w:rPr>
          <w:rStyle w:val="FootnoteReference"/>
        </w:rPr>
        <w:footnoteReference w:id="171"/>
      </w:r>
      <w:r>
        <w:t xml:space="preserve"> Collaboration became the test for true commitment to the Flemish Movement during World War II. As Fred </w:t>
      </w:r>
      <w:proofErr w:type="spellStart"/>
      <w:r>
        <w:t>Goedbloed</w:t>
      </w:r>
      <w:proofErr w:type="spellEnd"/>
      <w:r>
        <w:t xml:space="preserve"> writes, “collaboration with the German occupiers during World War II [was] considered the pinnacle of Flemish-nationalist </w:t>
      </w:r>
      <w:r>
        <w:lastRenderedPageBreak/>
        <w:t>idealism.”</w:t>
      </w:r>
      <w:r>
        <w:rPr>
          <w:rStyle w:val="FootnoteReference"/>
        </w:rPr>
        <w:footnoteReference w:id="172"/>
      </w:r>
      <w:r>
        <w:t xml:space="preserve"> In the aftermath of World War II, the Flemish Movement was completely discredited due to their connection with the German forces. Therefore, far-right Flemish nationalism became politically irrelevant in the immediate post-war period. However, by the 1960s, the Movement began to rise again, gaining strength and adherents due, in part, to the focus on language and culture in the post-war period in Flanders.</w:t>
      </w:r>
      <w:r>
        <w:rPr>
          <w:rStyle w:val="FootnoteReference"/>
        </w:rPr>
        <w:footnoteReference w:id="173"/>
      </w:r>
      <w:r>
        <w:t xml:space="preserve"> It is from these roots that the contemporary turn towards xenophobia and anti-immigrant rhetoric in the Flemish Movement stemmed.</w:t>
      </w:r>
    </w:p>
    <w:p w14:paraId="5958823C" w14:textId="77777777" w:rsidR="00961436" w:rsidRDefault="00961436" w:rsidP="00961436">
      <w:pPr>
        <w:spacing w:line="480" w:lineRule="auto"/>
      </w:pPr>
      <w:r>
        <w:tab/>
        <w:t xml:space="preserve">In the landscape of Belgian politics, post-war Flemish nationalism was linked to xenophobic and anti-immigrant rhetoric. According to de Witte and </w:t>
      </w:r>
      <w:proofErr w:type="spellStart"/>
      <w:r>
        <w:t>Kandermans</w:t>
      </w:r>
      <w:proofErr w:type="spellEnd"/>
      <w:r>
        <w:t>, this political view linked together an ethnic view of Flemish identity as well as “the rejection of Belgium as a nation state”, which lead to a xenophobic view of the nation and anti-immigrant rhetoric.</w:t>
      </w:r>
      <w:r>
        <w:rPr>
          <w:rStyle w:val="FootnoteReference"/>
        </w:rPr>
        <w:footnoteReference w:id="174"/>
      </w:r>
      <w:r>
        <w:t xml:space="preserve"> This link of a national identity, constructed in opposition to Wallonia and based on ethnic markers like language, made the move towards constructing Flemish identity in opposition to a new external Other – immigrants – easy. According to Filip </w:t>
      </w:r>
      <w:proofErr w:type="spellStart"/>
      <w:r>
        <w:t>Dewinter</w:t>
      </w:r>
      <w:proofErr w:type="spellEnd"/>
      <w:r>
        <w:t xml:space="preserve">, the leader of the </w:t>
      </w:r>
      <w:proofErr w:type="spellStart"/>
      <w:r>
        <w:t>Vlaams</w:t>
      </w:r>
      <w:proofErr w:type="spellEnd"/>
      <w:r>
        <w:t xml:space="preserve"> Blok, a far-right Flemish nationalist party, “how can a party resist the </w:t>
      </w:r>
      <w:proofErr w:type="spellStart"/>
      <w:r>
        <w:t>Francification</w:t>
      </w:r>
      <w:proofErr w:type="spellEnd"/>
      <w:r>
        <w:t xml:space="preserve"> of Brussels . . . without resisting its </w:t>
      </w:r>
      <w:proofErr w:type="spellStart"/>
      <w:r>
        <w:t>Moroccanisation</w:t>
      </w:r>
      <w:proofErr w:type="spellEnd"/>
      <w:r>
        <w:t>?”</w:t>
      </w:r>
      <w:r>
        <w:rPr>
          <w:rStyle w:val="FootnoteReference"/>
        </w:rPr>
        <w:footnoteReference w:id="175"/>
      </w:r>
      <w:r>
        <w:t xml:space="preserve"> A member of the far-right Flemish nationalist movement expressed similar sentiments in an interview:</w:t>
      </w:r>
    </w:p>
    <w:p w14:paraId="338928F1" w14:textId="77777777" w:rsidR="00961436" w:rsidRDefault="00961436" w:rsidP="00961436">
      <w:pPr>
        <w:ind w:left="720"/>
      </w:pPr>
      <w:r>
        <w:t xml:space="preserve">We are ethnic nationalists. We are convinced that Flanders and the Flemish ethnic nation must be accorded their singularity and must be allowed to develop themselves, without any influence from the outside. Therefore, our struggle is against anything which </w:t>
      </w:r>
      <w:r>
        <w:lastRenderedPageBreak/>
        <w:t>constitutes a threat to our ethnic group, such as a significant presence of foreigners and the multicultural society.</w:t>
      </w:r>
      <w:r>
        <w:rPr>
          <w:rStyle w:val="FootnoteReference"/>
        </w:rPr>
        <w:footnoteReference w:id="176"/>
      </w:r>
    </w:p>
    <w:p w14:paraId="4BE5CAD9" w14:textId="77777777" w:rsidR="003B1C74" w:rsidRDefault="003B1C74" w:rsidP="00961436">
      <w:pPr>
        <w:ind w:left="720"/>
      </w:pPr>
    </w:p>
    <w:p w14:paraId="2FF463AB" w14:textId="77777777" w:rsidR="00961436" w:rsidRDefault="00961436" w:rsidP="00961436">
      <w:pPr>
        <w:spacing w:line="480" w:lineRule="auto"/>
      </w:pPr>
      <w:proofErr w:type="gramStart"/>
      <w:r>
        <w:t>Both of these</w:t>
      </w:r>
      <w:proofErr w:type="gramEnd"/>
      <w:r>
        <w:t xml:space="preserve"> statements express how the connection between a Flemish identity constructed against the outside lead to a xenophobic world view among Flemish nationalists. Given this worldview, the reconstruction of Flemish identity in the late twentieth and early twenty-first century took on xenophobic and anti-immigrant elements. Because Flemish identity was historically constructed largely around language and against </w:t>
      </w:r>
      <w:proofErr w:type="gramStart"/>
      <w:r>
        <w:t>a perceived Walloon Other, linguistic markers</w:t>
      </w:r>
      <w:proofErr w:type="gramEnd"/>
      <w:r>
        <w:t xml:space="preserve"> became the foundation for identifying members of the nation. Therefore, any outsiders that did not fit with the foundational criteria for the nation – i.e., do not speak the language – were immediately perceived as not just </w:t>
      </w:r>
      <w:proofErr w:type="gramStart"/>
      <w:r>
        <w:t>an Other</w:t>
      </w:r>
      <w:proofErr w:type="gramEnd"/>
      <w:r>
        <w:t xml:space="preserve"> outside the nation, but as an active threat to the development of the nation if they remained permanently within Flemish borders. This was reinforced by calls from many Flemish nationalists for Flanders to leave Belgium and form an independent state. In this reconstruction, immigrants became a critical threat to the stability and continued existence of the Flemish nation.</w:t>
      </w:r>
    </w:p>
    <w:p w14:paraId="4DA060DA" w14:textId="77777777" w:rsidR="00961436" w:rsidRDefault="00961436" w:rsidP="00961436">
      <w:pPr>
        <w:spacing w:line="480" w:lineRule="auto"/>
      </w:pPr>
      <w:r>
        <w:tab/>
        <w:t>In the case of Flanders, reconstruction of a Flemish identity responded to social and demographic changes in Flanders. For one, a renewed interest in the history and literature of Flanders facilitated the resurgence of the Flemish Movement. Additionally, the presence of immigrants, especially from Morocco and Turkey, in Flanders created a target for earlier established xenophobia within the Flemish Movement. Therefore, the reconstruction of Flemish identity combined these two elements and incorporated anti-immigrant and xenophobic views in their construction of Flemish identity and Flanders.</w:t>
      </w:r>
    </w:p>
    <w:p w14:paraId="1CB05AD9" w14:textId="77777777" w:rsidR="00961436" w:rsidRDefault="00961436" w:rsidP="00961436">
      <w:pPr>
        <w:spacing w:line="480" w:lineRule="auto"/>
      </w:pPr>
      <w:r>
        <w:lastRenderedPageBreak/>
        <w:tab/>
        <w:t>The reconstruction of identity in Wallonia was more ambiguous than that in Flanders. As outlined in the previous chapter, Walloon consciousness was constructed against a Flemish identity and directly in response to the Flemish Movement. Therefore, Walloon identity had a more ambiguous relationship with a Belgian identity. For the early constructors of Walloon identity, defense of Belgium overrode creation of a distinct Walloon identity. Therefore, a connection between Belgian and Walloon identity existed from an early construction of Walloon identity. However, more separation between Belgian and Walloon identity began in the late 1990s and early 2000s. During this time, Walloon identity evolved along a similar trajectory as Flemish identity, and was often expressed in the views of far-right anti-immigrant parties. However, in Wallonia, more so than in Flanders, economic issues loomed large in nationalist agendas. Therefore, much of the anti-immigrant sentiment focused on economic competition in Wallonia.</w:t>
      </w:r>
      <w:r>
        <w:rPr>
          <w:rStyle w:val="FootnoteReference"/>
        </w:rPr>
        <w:footnoteReference w:id="177"/>
      </w:r>
      <w:r>
        <w:t xml:space="preserve"> This focus on economic issues aligned with the views of far-right political groups in Wallonia, which typically focused the declining economic conditions in Wallonia. In some cases, these two views combined to produce parties that focused on economic issues and espoused anti-immigrant views. However, not all constructions of Walloon identity aligned with far-right parties and their conceptions of what it should be. In fact, </w:t>
      </w:r>
      <w:proofErr w:type="gramStart"/>
      <w:r>
        <w:t>a number of</w:t>
      </w:r>
      <w:proofErr w:type="gramEnd"/>
      <w:r>
        <w:t xml:space="preserve"> articulations of Walloon identity opposed anti-immigrant rhetoric and far-right parties.</w:t>
      </w:r>
    </w:p>
    <w:p w14:paraId="3499ED88" w14:textId="77777777" w:rsidR="00961436" w:rsidRDefault="00961436" w:rsidP="00961436">
      <w:pPr>
        <w:spacing w:line="480" w:lineRule="auto"/>
      </w:pPr>
      <w:r>
        <w:tab/>
        <w:t xml:space="preserve">Because of the adversarial history of the construction of identity in Flanders and Wallonia, when Flemish identity came to rely more on anti-immigrant rhetoric, Walloon identity needed to be reconstructed in opposition to that. Therefore, supporters of Walloon identity in the 1990s and 2000s began to portray it as a civic form of national identity, in opposition to the </w:t>
      </w:r>
      <w:r>
        <w:lastRenderedPageBreak/>
        <w:t>‘ethnic’ identity of the Flemings. The focus on economic issues in Wallonia exemplified this.</w:t>
      </w:r>
      <w:r>
        <w:rPr>
          <w:rStyle w:val="FootnoteReference"/>
        </w:rPr>
        <w:footnoteReference w:id="178"/>
      </w:r>
      <w:r>
        <w:t xml:space="preserve"> However, Walloon nationalism continued to bear markers of an ethnic construction. For example, emphasis was placed on history, with the idea of a Romance language community at the center.</w:t>
      </w:r>
      <w:r>
        <w:rPr>
          <w:rStyle w:val="FootnoteReference"/>
        </w:rPr>
        <w:footnoteReference w:id="179"/>
      </w:r>
      <w:r>
        <w:t xml:space="preserve"> During this time, a split occurred in the reconstruction of Walloon identity. One version linked itself to far-right parties and xenophobic and anti-immigrant views. Another form opposed this reconstruction, and instead rebranded itself as a form of civic nationalism, open to immigration and international cooperation. This split has no direct parallel in Flemish identity, but grew out of the reconstruction of Walloon identity in opposition to Flemish identity.</w:t>
      </w:r>
    </w:p>
    <w:p w14:paraId="103A44D0" w14:textId="77777777" w:rsidR="00961436" w:rsidRDefault="00961436" w:rsidP="00961436">
      <w:pPr>
        <w:spacing w:line="480" w:lineRule="auto"/>
        <w:ind w:firstLine="720"/>
      </w:pPr>
      <w:r>
        <w:t>The main point of continuity here is that Walloon identity continued to be constructed in opposition to Flemish identity. Therefore, if Flemish identity was exclusive and xenophobic, mainstream Walloon identity attempted to portray itself as inclusive and open to immigration. While Flemish nationalists reconstructed Flemish nationalism in opposition to multiple Others – Walloons and immigrants – Walloon nationalists responded with a split in reconstructions of Walloon identity. For one group, the reconstruction of Walloon identity centered on opposition to an immigrant Other, with a focus on economic grievances. For another, larger group, reconstruction focused on the continued opposition to the Flemish Other.</w:t>
      </w:r>
    </w:p>
    <w:p w14:paraId="266EA134" w14:textId="77777777" w:rsidR="00961436" w:rsidRPr="00243612" w:rsidRDefault="00961436" w:rsidP="00961436">
      <w:pPr>
        <w:spacing w:line="480" w:lineRule="auto"/>
      </w:pPr>
      <w:r>
        <w:rPr>
          <w:b/>
        </w:rPr>
        <w:t>Conclusion</w:t>
      </w:r>
    </w:p>
    <w:p w14:paraId="7D2AFFDC" w14:textId="77777777" w:rsidR="00961436" w:rsidRDefault="00961436" w:rsidP="00961436">
      <w:pPr>
        <w:spacing w:line="480" w:lineRule="auto"/>
        <w:ind w:firstLine="720"/>
      </w:pPr>
      <w:r>
        <w:t xml:space="preserve">This chapter showed how identities continued to be reconstructed to respond to changing circumstances. In the reconstruction, nationalists also reexamined the use of folk culture and sometimes deemed it no longer necessary for the new goals of identity reconstruction. Scotland is an example of this phenomenon, where nationalists no longer deployed folk culture as a main </w:t>
      </w:r>
      <w:r>
        <w:lastRenderedPageBreak/>
        <w:t>building block of identity because it was no longer needed to unify groups internally. As the identity of Highlander and Lowlander became subservient to a broader Scottish identity, folk culture was no longer needed to bring the two groups together. Therefore, in the reconstruction of Scottish identity in the 1960s and 1970s, history and literature took center stage as nationalists used these aspects of identity to most effectively differentiate Scottish identity from English identity. Therefore, in Scotland, identity continued to be constructed in opposition to an external Other – the English – but not to unify groups internally.</w:t>
      </w:r>
    </w:p>
    <w:p w14:paraId="75A68F0F" w14:textId="77777777" w:rsidR="00961436" w:rsidRDefault="00961436" w:rsidP="00961436">
      <w:pPr>
        <w:spacing w:line="480" w:lineRule="auto"/>
        <w:ind w:firstLine="720"/>
      </w:pPr>
      <w:r>
        <w:t xml:space="preserve">Korea offers an example of the continued relevance of folk culture in national identity due to the </w:t>
      </w:r>
      <w:proofErr w:type="spellStart"/>
      <w:r>
        <w:t>reappropriation</w:t>
      </w:r>
      <w:proofErr w:type="spellEnd"/>
      <w:r>
        <w:t xml:space="preserve"> of that folk culture by three different groups with different and oppositional goals. In both North and South Korea, the governments used folk culture to claim legitimacy for their power as well as to lay claim to true representation of the Korea nation, both on the Korean peninsula and internationally. In South Korea, however, student protestors </w:t>
      </w:r>
      <w:proofErr w:type="spellStart"/>
      <w:r>
        <w:t>reappropriated</w:t>
      </w:r>
      <w:proofErr w:type="spellEnd"/>
      <w:r>
        <w:t xml:space="preserve"> folk culture to reconstruct a new identity for the Korean nation and used it to challenge the legitimacy of the regime. In this case, folk culture was still used to unify groups internally – both North with South and the working class and poor with the rest of society – as well as to differentiate Korean identity from the Other, all those not part of the Korean nation.</w:t>
      </w:r>
    </w:p>
    <w:p w14:paraId="38C8206B" w14:textId="49A3C0BF" w:rsidR="00961436" w:rsidRDefault="00961436" w:rsidP="003B1C74">
      <w:pPr>
        <w:spacing w:line="480" w:lineRule="auto"/>
        <w:ind w:firstLine="720"/>
      </w:pPr>
      <w:r>
        <w:t>The case of Belgium offers an example of how identities built on an oppositional framework can be reconstructed to take on new features. In the case of Flemish identity, the new elements were xenophobia and anti-immigrant rhetoric. This link was based on the oppositional nature of Flemish identity, constructed against both a Walloon and Belgian identity. In Wallonia, on the other hand, the identity was reconstructed in reaction to a reconstructed Flemish identity and began to emphasize, perhaps wrongly, the open nature of Walloon identity. Therefore, both identities continued to be constructed in direct response to each other.</w:t>
      </w:r>
      <w:r>
        <w:br w:type="page"/>
      </w:r>
    </w:p>
    <w:p w14:paraId="7090863B" w14:textId="77777777" w:rsidR="00961436" w:rsidRDefault="00961436" w:rsidP="00961436">
      <w:pPr>
        <w:spacing w:line="480" w:lineRule="auto"/>
        <w:jc w:val="center"/>
        <w:rPr>
          <w:b/>
        </w:rPr>
      </w:pPr>
      <w:r>
        <w:rPr>
          <w:b/>
        </w:rPr>
        <w:lastRenderedPageBreak/>
        <w:t>Conclusion:</w:t>
      </w:r>
    </w:p>
    <w:p w14:paraId="737A6BB5" w14:textId="77777777" w:rsidR="00961436" w:rsidRDefault="00961436" w:rsidP="00961436">
      <w:pPr>
        <w:spacing w:line="480" w:lineRule="auto"/>
        <w:jc w:val="center"/>
        <w:rPr>
          <w:b/>
        </w:rPr>
      </w:pPr>
      <w:r>
        <w:rPr>
          <w:b/>
        </w:rPr>
        <w:t>Toward a Dynamic View of Culture</w:t>
      </w:r>
    </w:p>
    <w:p w14:paraId="4E2592A1" w14:textId="77777777" w:rsidR="00961436" w:rsidRDefault="00961436" w:rsidP="00961436">
      <w:pPr>
        <w:spacing w:line="480" w:lineRule="auto"/>
      </w:pPr>
      <w:r>
        <w:tab/>
        <w:t xml:space="preserve">In the second decade of the twenty-first century, nationalism, once consigned to the dustbin of history, suddenly seems relevant once again, especially in the three cases surveyed here. Scotland held a referendum in which the nation barely voted to stay a part of the United Kingdom, with plans for another referendum in the works by the Scottish National Party government in Edinburgh. A historic meeting between the leaders of North and South Korea indicated the shifting political situation on the Korean peninsula, in large part influenced by new forms of American provocation. Belgium is constantly on the verge of disintegration and government collapse due to the presence of uncompromising Flemish nationalist parties in the national parliament. In the face of these developments, the study of nationalism must account for the components of a national identity, their origins, the purpose they serve within the identity, and how they are deployed. Then, a more complete picture of how disparate actors – the state, protestors, groups within the state, </w:t>
      </w:r>
      <w:proofErr w:type="spellStart"/>
      <w:r>
        <w:t>etc</w:t>
      </w:r>
      <w:proofErr w:type="spellEnd"/>
      <w:r>
        <w:t xml:space="preserve"> – utilize national identity will come into focus and inform both further research and policy on nationalism.</w:t>
      </w:r>
    </w:p>
    <w:p w14:paraId="12771364" w14:textId="77777777" w:rsidR="00961436" w:rsidRDefault="00961436" w:rsidP="00961436">
      <w:pPr>
        <w:spacing w:line="480" w:lineRule="auto"/>
      </w:pPr>
      <w:r>
        <w:tab/>
        <w:t xml:space="preserve">The comparative nature of this project also reveals an important new direction in research on identity and nationalism. While political scientists have long studied comparative nationalism, ethnological and historical writing has not, especially in the realm of national identity and its construction. However, as this project demonstrates, comparative work is a fruitful route of inquiry for historians as well. A comparative context highlights new trends in construction of national identity and ways emphasis shifts over time in these constructions. Through comparison of three seemingly disparate cases, this thesis highlights the ways in which multiple directions of </w:t>
      </w:r>
      <w:r>
        <w:lastRenderedPageBreak/>
        <w:t>construction impact which aspects of an identity are emphasized and how reconstruction requires a reevaluation and shift in this emphasis.</w:t>
      </w:r>
    </w:p>
    <w:p w14:paraId="7D2FA231" w14:textId="77777777" w:rsidR="00961436" w:rsidRDefault="00961436" w:rsidP="00961436">
      <w:pPr>
        <w:spacing w:line="480" w:lineRule="auto"/>
      </w:pPr>
      <w:r>
        <w:tab/>
        <w:t>This thesis also revealed a fundamental tension in the way culture and identity are mutually constituted. Both Scotland and Korea exhibit this tension, in varying degrees. In Scotland, the early construction of Scottish identity focused on folk culture. As in many places, the constructors of national identity in Scotland who utilized folk culture conceived of it as timeless and unchanging. Therefore, folk culture was presented as an excellent repository for the ‘true’ culture because it supposedly does not change. Anderson describes this phenomenon when he explores the way a nation is presented as natural, or coming out of antiquity, whereas it has, in fact, been recently created.</w:t>
      </w:r>
      <w:r>
        <w:rPr>
          <w:rStyle w:val="FootnoteReference"/>
        </w:rPr>
        <w:footnoteReference w:id="180"/>
      </w:r>
      <w:r>
        <w:t xml:space="preserve"> By utilizing folk culture in constructions of national identity, actors engaged in the process of </w:t>
      </w:r>
      <w:proofErr w:type="spellStart"/>
      <w:r>
        <w:t>reappropriation</w:t>
      </w:r>
      <w:proofErr w:type="spellEnd"/>
      <w:r>
        <w:t xml:space="preserve"> and symbolic creation to pull together the foundation for the nation under construction. However, as the focus on national identity (re)construction shifted toward history and literature in Scotland, another shift was revealed. Unlike culture, especially folk culture, which is often seen as timeless and unchanging, history is explicitly rooted in change and chronology. When actors reconstruct an identity </w:t>
      </w:r>
      <w:proofErr w:type="gramStart"/>
      <w:r>
        <w:t>on the basis of</w:t>
      </w:r>
      <w:proofErr w:type="gramEnd"/>
      <w:r>
        <w:t xml:space="preserve"> something focused on change, like history, when it previously was constructed based on an entity seen as timeless, like folk culture, the presentation of that identity will also change. </w:t>
      </w:r>
    </w:p>
    <w:p w14:paraId="276E1ADA" w14:textId="77777777" w:rsidR="00961436" w:rsidRDefault="00961436" w:rsidP="00961436">
      <w:pPr>
        <w:spacing w:line="480" w:lineRule="auto"/>
        <w:ind w:firstLine="720"/>
      </w:pPr>
      <w:r>
        <w:t xml:space="preserve">This shift is seen in Scotland and (re)constructions of Scottish identity. When based on folk culture, Scottish identity was conceived of as a set of clear, unchanging characteristics. Scots love liberty, they are fighters and feisty, they have a strong conviction in their commitment to family and traditions. While these characteristics are obviously part of the construction of </w:t>
      </w:r>
      <w:r>
        <w:lastRenderedPageBreak/>
        <w:t xml:space="preserve">Scottish identity, their presentation comes from the conception of </w:t>
      </w:r>
      <w:proofErr w:type="spellStart"/>
      <w:r>
        <w:t>Scottishness</w:t>
      </w:r>
      <w:proofErr w:type="spellEnd"/>
      <w:r>
        <w:t xml:space="preserve"> as built upon the timeless entity of folk culture. However, when the basis of Scottish identity shifted to a focus on history in the twentieth century, in part due to the rise of SNP, Scottish identity became much more fluid and changeable. Instead of a focus on key characteristics of a Scot, Scottish identity was conceived of as openness to change and diversity. The SNP, both as a party and individual members, often present Scotland and the Scots as a people fundamentally committed to growing with their changing circumstances and welcoming to the new members of Scotland, especially immigrants, regardless of their cultural background. This shift exemplifies how the change in the manner of the construction of a national identity affects the contents of that identity. When the shift occurs, the foundation of the nation no longer holds solid, as it is no longer situated on its supposedly ancient origins. Now, the nation sits on much more modern conceptions, fundamentally altering its construction and presentation.</w:t>
      </w:r>
    </w:p>
    <w:p w14:paraId="4608EA26" w14:textId="1591CBCE" w:rsidR="00961436" w:rsidRDefault="00961436" w:rsidP="00961436">
      <w:pPr>
        <w:spacing w:line="480" w:lineRule="auto"/>
      </w:pPr>
      <w:r>
        <w:tab/>
        <w:t xml:space="preserve">A similar shift occurred in Korea, </w:t>
      </w:r>
      <w:proofErr w:type="gramStart"/>
      <w:r>
        <w:t>in regards to</w:t>
      </w:r>
      <w:proofErr w:type="gramEnd"/>
      <w:r>
        <w:t xml:space="preserve"> understanding the role of Japanese imperialism. In the 1920s and 1930s, under Japanese rule, intellectuals appealed to an ancient history and folk culture. In this context, they presented folk culture as timeless and originating in the agricultural communities. The appeals to this timelessness became the basis for the assertion of folk culture as a vessel for true </w:t>
      </w:r>
      <w:proofErr w:type="spellStart"/>
      <w:r>
        <w:t>Koreanness</w:t>
      </w:r>
      <w:proofErr w:type="spellEnd"/>
      <w:r>
        <w:t xml:space="preserve"> and resistance to Japanese rule. Nationalist intellectuals utilized folk culture as a form of resistance because of its connection to Korean culture. In the 1970s and 1980s deployment of folk culture, a hazy past was not the setting for its importance, the colonial past was. Both governments and protestors utilized folk culture because of its </w:t>
      </w:r>
      <w:r w:rsidR="001511B1">
        <w:t xml:space="preserve">connection to the resistance against </w:t>
      </w:r>
      <w:r>
        <w:t xml:space="preserve">Japanese rule and the maintenance of a Korean identity during the colonial period. In the later period, its legitimacy came from its previous role as a </w:t>
      </w:r>
      <w:r>
        <w:lastRenderedPageBreak/>
        <w:t xml:space="preserve">form of resistance. Korean culture and identity, in this reconstruction, became rooted in resistance and anti-colonial discourse. </w:t>
      </w:r>
    </w:p>
    <w:p w14:paraId="5F0B7C2F" w14:textId="77777777" w:rsidR="00961436" w:rsidRDefault="00961436" w:rsidP="00961436">
      <w:pPr>
        <w:spacing w:line="480" w:lineRule="auto"/>
        <w:ind w:firstLine="720"/>
      </w:pPr>
      <w:r>
        <w:t xml:space="preserve">This change, </w:t>
      </w:r>
      <w:proofErr w:type="gramStart"/>
      <w:r>
        <w:t>similar to</w:t>
      </w:r>
      <w:proofErr w:type="gramEnd"/>
      <w:r>
        <w:t xml:space="preserve"> the one seen in Scotland, points to a shift from an entity seen as timeless to something more grounded in the chronology and change of history. In the 1920s and 1930s, folk culture gained its appeal from its connection to the timelessness of Korean culture. In the 1970s and 1980s, its appeal came from its historic role in resistance. The challenge that forced this shift came in the form of changing political reality.  Democratic protest revealed the fracture lines within Korean identity in South Korea and </w:t>
      </w:r>
      <w:proofErr w:type="gramStart"/>
      <w:r>
        <w:t>opened up</w:t>
      </w:r>
      <w:proofErr w:type="gramEnd"/>
      <w:r>
        <w:t xml:space="preserve"> space for new and diverging reconstructions of Korean identity to serve the divergent purposes of different groups. All groups, however, moved from a basis of identity in timeless culture to an emphasis on the formative role of historic events.</w:t>
      </w:r>
    </w:p>
    <w:p w14:paraId="56A802BF" w14:textId="15444CAB" w:rsidR="00961436" w:rsidRDefault="00961436" w:rsidP="00961436">
      <w:pPr>
        <w:spacing w:line="480" w:lineRule="auto"/>
      </w:pPr>
      <w:r>
        <w:tab/>
        <w:t>This shift also indicates a point this thesis drives toward, though does not focus on – culture is not, in fact, static and unchanging. Instead, it is an ever changing and evolving entity in our lives. Although the nature of culture is, in many ways, outside the scope of this thesis, the evidence presented here makes a strong case that culture can and does change, and more frequently than often thought. Many anthropologists, among them Clifford Geertz, emphasize the contextual nature of culture and how it can and does change.</w:t>
      </w:r>
      <w:r>
        <w:rPr>
          <w:rStyle w:val="FootnoteReference"/>
        </w:rPr>
        <w:footnoteReference w:id="181"/>
      </w:r>
      <w:r>
        <w:t xml:space="preserve"> This thesis advances a complementary conceptualization, one that focuses on the historical creation of culture and the dynamism of identity. It clearly shows that early formulations must be continually changed in response to </w:t>
      </w:r>
      <w:proofErr w:type="gramStart"/>
      <w:r>
        <w:t>a number of</w:t>
      </w:r>
      <w:proofErr w:type="gramEnd"/>
      <w:r>
        <w:t xml:space="preserve"> subsequent factors, especially changes in political circumstances and events or large-scale social changes. While these large changes to identity or culture – both </w:t>
      </w:r>
      <w:r>
        <w:lastRenderedPageBreak/>
        <w:t xml:space="preserve">constructed entities – are easier to </w:t>
      </w:r>
      <w:proofErr w:type="gramStart"/>
      <w:r>
        <w:t>see</w:t>
      </w:r>
      <w:proofErr w:type="gramEnd"/>
      <w:r>
        <w:t xml:space="preserve"> and identify as turning points, there are countless smaller challenges to any constructed entity. </w:t>
      </w:r>
      <w:proofErr w:type="gramStart"/>
      <w:r>
        <w:t>In order to</w:t>
      </w:r>
      <w:proofErr w:type="gramEnd"/>
      <w:r>
        <w:t xml:space="preserve"> meet these challenges and stay relevant, any construct requires the continued reaffirmation or buy-in from the target population. This reaffirmation can only be provided through continual tweaks of the original construction.</w:t>
      </w:r>
    </w:p>
    <w:p w14:paraId="067E33E7" w14:textId="4E183CFD" w:rsidR="00961436" w:rsidRDefault="00961436" w:rsidP="00961436">
      <w:pPr>
        <w:spacing w:line="480" w:lineRule="auto"/>
      </w:pPr>
      <w:r>
        <w:tab/>
        <w:t xml:space="preserve">To take Scotland as an example again, changes were necessary in the (re)construction of Scottish identity between the two periods surveyed in this work. In the mid-nineteenth century, Scottish identity became reliant on folk culture and was constructed out of a foundation of folk music as a critical vessel of Scottish culture and identity. However, this initial construction could not survive in its earliest form until the 1960s and 1970s, over a century later, without recalibration. Through the intervening century, Scottish identity was continually reconstructed, altering the importance of </w:t>
      </w:r>
      <w:proofErr w:type="gramStart"/>
      <w:r>
        <w:t>particular parts</w:t>
      </w:r>
      <w:proofErr w:type="gramEnd"/>
      <w:r>
        <w:t xml:space="preserve"> or shifting components from one area to another. For example, when language was introduced in the interwar period, it did not immediately overtake the role of folk culture, but nonetheless altered the foundation of Scottish identity. This change was made in response to changing circumstances – folk music and culture were no longer popular in the interwar period, especially in a Scotland quickly losing population and scarred by the effects of World War I. In the face of these changing circumstances, adjustment was necessary.</w:t>
      </w:r>
    </w:p>
    <w:p w14:paraId="3299E894" w14:textId="77777777" w:rsidR="00961436" w:rsidRDefault="00961436" w:rsidP="00961436">
      <w:pPr>
        <w:spacing w:line="480" w:lineRule="auto"/>
      </w:pPr>
      <w:r>
        <w:tab/>
        <w:t xml:space="preserve">Korean identity also underwent this recalibration. One especially clear instance of this occurred after the Korean War, when both North and South Korean governments had to reconstruct Korean identity in response to the political realities of a divided state. The tweaks in identity made in both North and South Korea were reflected in the reconstructions present in the 1970s and 1980s, as explored in chapter three. In the early construction of Korean identity, nationalists linked folk culture to the core of the nation and then deployed it as a form of </w:t>
      </w:r>
      <w:r>
        <w:lastRenderedPageBreak/>
        <w:t>resistance. As the political situation changed, the way folk culture was deployed needed to change as well. The governments of both North and South Korea needed legitimacy, both to rule their own citizens and to represent the Korean people. Folk culture, posited as the core of the nation and linked to resistance to colonial oppression, proved an effective tool for this goal. For protestors in South Korea, national identity needed to be reconstructed to reconnect the people with their past and their true selves. This was accomplished through the reemphasis of folk culture’s link to the cultural core of the Korean nation. For these three groups in the 1970s and 1980s, the role of folk culture in Korean national identity needed to be adjusted to meet different needs. These changes are the result of smaller adjustments made in response to larger circumstantial changes to keep an identity relevant.</w:t>
      </w:r>
    </w:p>
    <w:p w14:paraId="557C506E" w14:textId="77777777" w:rsidR="00961436" w:rsidRDefault="00961436" w:rsidP="00961436">
      <w:pPr>
        <w:spacing w:line="480" w:lineRule="auto"/>
      </w:pPr>
      <w:r>
        <w:tab/>
        <w:t xml:space="preserve">Belgium, as the comparative case, charts a slightly different course. In both Flanders and Wallonia, </w:t>
      </w:r>
      <w:proofErr w:type="gramStart"/>
      <w:r>
        <w:t>similar to</w:t>
      </w:r>
      <w:proofErr w:type="gramEnd"/>
      <w:r>
        <w:t xml:space="preserve"> Scotland, identity was constructed, in part, on appeals to an ancient past and a supposedly ancient nation. However, in the case of Flanders and Wallonia, the identities are not national identities but sub-national and more ethnic identities. They grew through direct competition with each other, constantly fighting for control, linguistically, politically, and economically. It is this direct and constant competition that differentiates the Belgian case in this instance. Reconstruction in both Flanders and Wallonia, however, focused less on history and language and more on contemporary grievances. This, in conjunction with the historic focus on political power to address grievances in both communities, lead to a weak Belgian identity as the power lies in sub-national identities. Therefore, a potential Belgian national identity became irrelevant and will stay so unless a unifying force is found to construct a true Belgian nationalism.</w:t>
      </w:r>
    </w:p>
    <w:p w14:paraId="1D265D8F" w14:textId="2CD9F653" w:rsidR="00043C7B" w:rsidRDefault="00961436" w:rsidP="00961436">
      <w:pPr>
        <w:spacing w:line="480" w:lineRule="auto"/>
      </w:pPr>
      <w:r>
        <w:lastRenderedPageBreak/>
        <w:tab/>
        <w:t>As the cases in this thesis outline, change is an inherent characterist</w:t>
      </w:r>
      <w:r w:rsidR="00605F71">
        <w:t>ic of both history and identity</w:t>
      </w:r>
      <w:r>
        <w:t xml:space="preserve">. </w:t>
      </w:r>
      <w:proofErr w:type="gramStart"/>
      <w:r>
        <w:t>In order for</w:t>
      </w:r>
      <w:proofErr w:type="gramEnd"/>
      <w:r>
        <w:t xml:space="preserve"> identities to stay relevant, they must change. The same is true of culture, especially as culture is such a fundamental element of identity. This thesis presents strong evidence pointing to the fluidity of culture and its construction. As nationalism and national identity continue to show their relevance in the modern world, understanding the construction of culture, as a foundation of the nation, becomes necessary for understanding shifting national identities and their political applications.</w:t>
      </w:r>
    </w:p>
    <w:p w14:paraId="226FAE8E" w14:textId="77777777" w:rsidR="00043C7B" w:rsidRDefault="00043C7B">
      <w:r>
        <w:br w:type="page"/>
      </w:r>
    </w:p>
    <w:p w14:paraId="6E6F4609" w14:textId="561327D4" w:rsidR="00961436" w:rsidRDefault="00043C7B" w:rsidP="00043C7B">
      <w:pPr>
        <w:spacing w:line="480" w:lineRule="auto"/>
        <w:jc w:val="center"/>
        <w:rPr>
          <w:b/>
        </w:rPr>
      </w:pPr>
      <w:r>
        <w:rPr>
          <w:b/>
        </w:rPr>
        <w:lastRenderedPageBreak/>
        <w:t>Bibliography</w:t>
      </w:r>
    </w:p>
    <w:p w14:paraId="15EC1A44" w14:textId="0A98906F" w:rsidR="00A17789" w:rsidRDefault="00A17789" w:rsidP="00280C35">
      <w:pPr>
        <w:pStyle w:val="FootnoteText"/>
        <w:ind w:left="720" w:hanging="720"/>
        <w:rPr>
          <w:rFonts w:ascii="Times New Roman" w:hAnsi="Times New Roman" w:cs="Times New Roman"/>
        </w:rPr>
      </w:pPr>
      <w:r w:rsidRPr="005D5882">
        <w:rPr>
          <w:rFonts w:ascii="Times New Roman" w:hAnsi="Times New Roman" w:cs="Times New Roman"/>
        </w:rPr>
        <w:t>Anderson,</w:t>
      </w:r>
      <w:r w:rsidRPr="00A17789">
        <w:rPr>
          <w:rFonts w:ascii="Times New Roman" w:hAnsi="Times New Roman" w:cs="Times New Roman"/>
        </w:rPr>
        <w:t xml:space="preserve"> </w:t>
      </w:r>
      <w:r w:rsidRPr="005D5882">
        <w:rPr>
          <w:rFonts w:ascii="Times New Roman" w:hAnsi="Times New Roman" w:cs="Times New Roman"/>
        </w:rPr>
        <w:t>Benedict</w:t>
      </w:r>
      <w:r>
        <w:rPr>
          <w:rFonts w:ascii="Times New Roman" w:hAnsi="Times New Roman" w:cs="Times New Roman"/>
        </w:rPr>
        <w:t>.</w:t>
      </w:r>
      <w:r w:rsidRPr="005D5882">
        <w:rPr>
          <w:rFonts w:ascii="Times New Roman" w:hAnsi="Times New Roman" w:cs="Times New Roman"/>
        </w:rPr>
        <w:t xml:space="preserve"> </w:t>
      </w:r>
      <w:r w:rsidRPr="005D5882">
        <w:rPr>
          <w:rFonts w:ascii="Times New Roman" w:hAnsi="Times New Roman" w:cs="Times New Roman"/>
          <w:i/>
        </w:rPr>
        <w:t>Imagined Communities: Reflections on the Origin and Spread of Nationalism</w:t>
      </w:r>
      <w:r>
        <w:rPr>
          <w:rFonts w:ascii="Times New Roman" w:hAnsi="Times New Roman" w:cs="Times New Roman"/>
        </w:rPr>
        <w:t>. New York: Verso, 2016</w:t>
      </w:r>
      <w:r w:rsidRPr="005D5882">
        <w:rPr>
          <w:rFonts w:ascii="Times New Roman" w:hAnsi="Times New Roman" w:cs="Times New Roman"/>
        </w:rPr>
        <w:t>.</w:t>
      </w:r>
    </w:p>
    <w:p w14:paraId="69EED67D" w14:textId="77777777" w:rsidR="00801940" w:rsidRDefault="00801940" w:rsidP="00280C35">
      <w:pPr>
        <w:pStyle w:val="FootnoteText"/>
        <w:ind w:left="720" w:hanging="720"/>
        <w:rPr>
          <w:rFonts w:ascii="Times New Roman" w:hAnsi="Times New Roman" w:cs="Times New Roman"/>
        </w:rPr>
      </w:pPr>
    </w:p>
    <w:p w14:paraId="3871A1D1" w14:textId="6AE42165" w:rsidR="00BF1726" w:rsidRDefault="00BF1726" w:rsidP="00280C35">
      <w:pPr>
        <w:pStyle w:val="FootnoteText"/>
        <w:ind w:left="720" w:hanging="720"/>
        <w:rPr>
          <w:rFonts w:ascii="Times New Roman" w:hAnsi="Times New Roman" w:cs="Times New Roman"/>
        </w:rPr>
      </w:pPr>
      <w:r w:rsidRPr="00AC639C">
        <w:rPr>
          <w:rFonts w:ascii="Times New Roman" w:hAnsi="Times New Roman" w:cs="Times New Roman"/>
        </w:rPr>
        <w:t>Atkins,</w:t>
      </w:r>
      <w:r w:rsidRPr="00BF1726">
        <w:rPr>
          <w:rFonts w:ascii="Times New Roman" w:hAnsi="Times New Roman" w:cs="Times New Roman"/>
        </w:rPr>
        <w:t xml:space="preserve"> </w:t>
      </w:r>
      <w:r w:rsidRPr="00AC639C">
        <w:rPr>
          <w:rFonts w:ascii="Times New Roman" w:hAnsi="Times New Roman" w:cs="Times New Roman"/>
        </w:rPr>
        <w:t>E. Taylor</w:t>
      </w:r>
      <w:r>
        <w:rPr>
          <w:rFonts w:ascii="Times New Roman" w:hAnsi="Times New Roman" w:cs="Times New Roman"/>
        </w:rPr>
        <w:t>.</w:t>
      </w:r>
      <w:r w:rsidRPr="00AC639C">
        <w:rPr>
          <w:rFonts w:ascii="Times New Roman" w:hAnsi="Times New Roman" w:cs="Times New Roman"/>
        </w:rPr>
        <w:t xml:space="preserve"> “The Dual Career of ‘</w:t>
      </w:r>
      <w:proofErr w:type="spellStart"/>
      <w:r w:rsidRPr="00AC639C">
        <w:rPr>
          <w:rFonts w:ascii="Times New Roman" w:hAnsi="Times New Roman" w:cs="Times New Roman"/>
        </w:rPr>
        <w:t>Arirang</w:t>
      </w:r>
      <w:proofErr w:type="spellEnd"/>
      <w:r w:rsidRPr="00AC639C">
        <w:rPr>
          <w:rFonts w:ascii="Times New Roman" w:hAnsi="Times New Roman" w:cs="Times New Roman"/>
        </w:rPr>
        <w:t>’: The Korean Resistance Anthem</w:t>
      </w:r>
      <w:r>
        <w:rPr>
          <w:rFonts w:ascii="Times New Roman" w:hAnsi="Times New Roman" w:cs="Times New Roman"/>
        </w:rPr>
        <w:t xml:space="preserve"> that Became a Japanese Pop Hit.” I</w:t>
      </w:r>
      <w:r w:rsidRPr="00AC639C">
        <w:rPr>
          <w:rFonts w:ascii="Times New Roman" w:hAnsi="Times New Roman" w:cs="Times New Roman"/>
        </w:rPr>
        <w:t xml:space="preserve">n </w:t>
      </w:r>
      <w:proofErr w:type="gramStart"/>
      <w:r w:rsidRPr="00AC639C">
        <w:rPr>
          <w:rFonts w:ascii="Times New Roman" w:hAnsi="Times New Roman" w:cs="Times New Roman"/>
          <w:i/>
        </w:rPr>
        <w:t>The</w:t>
      </w:r>
      <w:proofErr w:type="gramEnd"/>
      <w:r w:rsidRPr="00AC639C">
        <w:rPr>
          <w:rFonts w:ascii="Times New Roman" w:hAnsi="Times New Roman" w:cs="Times New Roman"/>
          <w:i/>
        </w:rPr>
        <w:t xml:space="preserve"> Journal of Asian Studies</w:t>
      </w:r>
      <w:r>
        <w:rPr>
          <w:rFonts w:ascii="Times New Roman" w:hAnsi="Times New Roman" w:cs="Times New Roman"/>
        </w:rPr>
        <w:t xml:space="preserve"> 66, no. 3 (Aug. 2007): 645-687</w:t>
      </w:r>
      <w:r w:rsidRPr="00AC639C">
        <w:rPr>
          <w:rFonts w:ascii="Times New Roman" w:hAnsi="Times New Roman" w:cs="Times New Roman"/>
        </w:rPr>
        <w:t>.</w:t>
      </w:r>
    </w:p>
    <w:p w14:paraId="0AA777E5" w14:textId="77777777" w:rsidR="00801940" w:rsidRDefault="00801940" w:rsidP="00280C35">
      <w:pPr>
        <w:pStyle w:val="FootnoteText"/>
        <w:ind w:left="720" w:hanging="720"/>
        <w:rPr>
          <w:rFonts w:ascii="Times New Roman" w:hAnsi="Times New Roman" w:cs="Times New Roman"/>
        </w:rPr>
      </w:pPr>
    </w:p>
    <w:p w14:paraId="011F362F" w14:textId="7DD98F66" w:rsidR="00D61F6D" w:rsidRDefault="00801940" w:rsidP="00280C35">
      <w:pPr>
        <w:pStyle w:val="FootnoteText"/>
        <w:ind w:left="720" w:hanging="720"/>
        <w:rPr>
          <w:rFonts w:ascii="Times New Roman" w:hAnsi="Times New Roman" w:cs="Times New Roman"/>
        </w:rPr>
      </w:pPr>
      <w:r>
        <w:rPr>
          <w:rFonts w:ascii="Times New Roman" w:hAnsi="Times New Roman" w:cs="Times New Roman"/>
        </w:rPr>
        <w:t>---</w:t>
      </w:r>
      <w:r w:rsidR="00D61F6D">
        <w:rPr>
          <w:rFonts w:ascii="Times New Roman" w:hAnsi="Times New Roman" w:cs="Times New Roman"/>
        </w:rPr>
        <w:t>.</w:t>
      </w:r>
      <w:r w:rsidR="00D61F6D" w:rsidRPr="00AB383B">
        <w:rPr>
          <w:rFonts w:ascii="Times New Roman" w:hAnsi="Times New Roman" w:cs="Times New Roman"/>
        </w:rPr>
        <w:t xml:space="preserve"> </w:t>
      </w:r>
      <w:r w:rsidR="00D61F6D" w:rsidRPr="00AB383B">
        <w:rPr>
          <w:rFonts w:ascii="Times New Roman" w:hAnsi="Times New Roman" w:cs="Times New Roman"/>
          <w:i/>
        </w:rPr>
        <w:t xml:space="preserve">Primitive Selves: </w:t>
      </w:r>
      <w:proofErr w:type="spellStart"/>
      <w:r w:rsidR="00D61F6D" w:rsidRPr="00AB383B">
        <w:rPr>
          <w:rFonts w:ascii="Times New Roman" w:hAnsi="Times New Roman" w:cs="Times New Roman"/>
          <w:i/>
        </w:rPr>
        <w:t>Koreana</w:t>
      </w:r>
      <w:proofErr w:type="spellEnd"/>
      <w:r w:rsidR="00D61F6D" w:rsidRPr="00AB383B">
        <w:rPr>
          <w:rFonts w:ascii="Times New Roman" w:hAnsi="Times New Roman" w:cs="Times New Roman"/>
          <w:i/>
        </w:rPr>
        <w:t xml:space="preserve"> in the Japanese Colonial Gaze, 1910-1945</w:t>
      </w:r>
      <w:r w:rsidR="00D61F6D">
        <w:rPr>
          <w:rFonts w:ascii="Times New Roman" w:hAnsi="Times New Roman" w:cs="Times New Roman"/>
        </w:rPr>
        <w:t xml:space="preserve">. </w:t>
      </w:r>
      <w:r w:rsidR="00D61F6D" w:rsidRPr="00AB383B">
        <w:rPr>
          <w:rFonts w:ascii="Times New Roman" w:hAnsi="Times New Roman" w:cs="Times New Roman"/>
        </w:rPr>
        <w:t>Berkeley: University of Cali</w:t>
      </w:r>
      <w:r w:rsidR="00D61F6D">
        <w:rPr>
          <w:rFonts w:ascii="Times New Roman" w:hAnsi="Times New Roman" w:cs="Times New Roman"/>
        </w:rPr>
        <w:t>fornia Press, 2010.</w:t>
      </w:r>
    </w:p>
    <w:p w14:paraId="55AF30AE" w14:textId="77777777" w:rsidR="00801940" w:rsidRDefault="00801940" w:rsidP="00280C35">
      <w:pPr>
        <w:pStyle w:val="FootnoteText"/>
        <w:ind w:left="720" w:hanging="720"/>
        <w:rPr>
          <w:rFonts w:ascii="Times New Roman" w:hAnsi="Times New Roman" w:cs="Times New Roman"/>
          <w:color w:val="000000" w:themeColor="text1"/>
        </w:rPr>
      </w:pPr>
    </w:p>
    <w:p w14:paraId="21B2C0BB" w14:textId="7FCFEA01" w:rsidR="00D8562C" w:rsidRPr="00D8562C" w:rsidRDefault="00D8562C" w:rsidP="00280C35">
      <w:pPr>
        <w:pStyle w:val="FootnoteText"/>
        <w:ind w:left="720" w:hanging="720"/>
        <w:rPr>
          <w:rFonts w:ascii="Times New Roman" w:hAnsi="Times New Roman" w:cs="Times New Roman"/>
        </w:rPr>
      </w:pPr>
      <w:r w:rsidRPr="00D8562C">
        <w:rPr>
          <w:rFonts w:ascii="Times New Roman" w:hAnsi="Times New Roman" w:cs="Times New Roman"/>
          <w:color w:val="000000" w:themeColor="text1"/>
        </w:rPr>
        <w:t xml:space="preserve">Belgian Government </w:t>
      </w:r>
      <w:r w:rsidRPr="00D8562C">
        <w:rPr>
          <w:rFonts w:ascii="Times New Roman" w:eastAsia="Times New Roman" w:hAnsi="Times New Roman" w:cs="Times New Roman"/>
          <w:color w:val="000000" w:themeColor="text1"/>
          <w:shd w:val="clear" w:color="auto" w:fill="FFFFFF"/>
        </w:rPr>
        <w:t>Ministry of Foreign Affairs, External Trade and Cooperation in Development</w:t>
      </w:r>
      <w:r>
        <w:rPr>
          <w:rFonts w:ascii="Times New Roman" w:hAnsi="Times New Roman" w:cs="Times New Roman"/>
          <w:color w:val="000000" w:themeColor="text1"/>
        </w:rPr>
        <w:t>.</w:t>
      </w:r>
      <w:r w:rsidRPr="00D8562C">
        <w:rPr>
          <w:rFonts w:ascii="Times New Roman" w:hAnsi="Times New Roman" w:cs="Times New Roman"/>
          <w:color w:val="000000" w:themeColor="text1"/>
        </w:rPr>
        <w:t xml:space="preserve"> </w:t>
      </w:r>
      <w:r w:rsidRPr="00D8562C">
        <w:rPr>
          <w:rFonts w:ascii="Times New Roman" w:hAnsi="Times New Roman" w:cs="Times New Roman"/>
          <w:i/>
          <w:color w:val="000000" w:themeColor="text1"/>
        </w:rPr>
        <w:t>History of Belgium</w:t>
      </w:r>
      <w:r>
        <w:rPr>
          <w:rFonts w:ascii="Times New Roman" w:hAnsi="Times New Roman" w:cs="Times New Roman"/>
          <w:color w:val="000000" w:themeColor="text1"/>
        </w:rPr>
        <w:t xml:space="preserve">. </w:t>
      </w:r>
      <w:r w:rsidRPr="00D8562C">
        <w:rPr>
          <w:rFonts w:ascii="Times New Roman" w:hAnsi="Times New Roman" w:cs="Times New Roman"/>
          <w:color w:val="000000" w:themeColor="text1"/>
        </w:rPr>
        <w:t xml:space="preserve">Brussels: </w:t>
      </w:r>
      <w:r w:rsidRPr="00D8562C">
        <w:rPr>
          <w:rFonts w:ascii="Times New Roman" w:eastAsia="Times New Roman" w:hAnsi="Times New Roman" w:cs="Times New Roman"/>
          <w:color w:val="000000" w:themeColor="text1"/>
          <w:shd w:val="clear" w:color="auto" w:fill="FFFFFF"/>
        </w:rPr>
        <w:t>Ministry of Foreign Affairs, External Trade and Cooperation in Development</w:t>
      </w:r>
      <w:r w:rsidRPr="00D8562C">
        <w:rPr>
          <w:rFonts w:ascii="Times New Roman" w:eastAsia="Times New Roman" w:hAnsi="Times New Roman" w:cs="Times New Roman"/>
          <w:color w:val="000000" w:themeColor="text1"/>
        </w:rPr>
        <w:t>, 1978</w:t>
      </w:r>
      <w:r>
        <w:rPr>
          <w:rFonts w:ascii="Times New Roman" w:eastAsia="Times New Roman" w:hAnsi="Times New Roman" w:cs="Times New Roman"/>
          <w:color w:val="000000" w:themeColor="text1"/>
        </w:rPr>
        <w:t>.</w:t>
      </w:r>
    </w:p>
    <w:p w14:paraId="3CEB6EA9" w14:textId="77777777" w:rsidR="00801940" w:rsidRDefault="00801940" w:rsidP="00280C35">
      <w:pPr>
        <w:pStyle w:val="FootnoteText"/>
        <w:ind w:left="720" w:hanging="720"/>
        <w:rPr>
          <w:rFonts w:ascii="Times New Roman" w:hAnsi="Times New Roman" w:cs="Times New Roman"/>
          <w:color w:val="232323"/>
        </w:rPr>
      </w:pPr>
    </w:p>
    <w:p w14:paraId="019E5569" w14:textId="323F57BD" w:rsidR="000963C3" w:rsidRDefault="000963C3" w:rsidP="00280C35">
      <w:pPr>
        <w:pStyle w:val="FootnoteText"/>
        <w:ind w:left="720" w:hanging="720"/>
        <w:rPr>
          <w:rFonts w:ascii="Times New Roman" w:hAnsi="Times New Roman" w:cs="Times New Roman"/>
        </w:rPr>
      </w:pPr>
      <w:r w:rsidRPr="00AB383B">
        <w:rPr>
          <w:rFonts w:ascii="Times New Roman" w:hAnsi="Times New Roman" w:cs="Times New Roman"/>
          <w:color w:val="232323"/>
        </w:rPr>
        <w:t>"Belgian Nationalism." In </w:t>
      </w:r>
      <w:r w:rsidRPr="00AB383B">
        <w:rPr>
          <w:rFonts w:ascii="Times New Roman" w:hAnsi="Times New Roman" w:cs="Times New Roman"/>
          <w:i/>
          <w:iCs/>
          <w:color w:val="232323"/>
        </w:rPr>
        <w:t>Encyclopedia of Nationalism: Leaders, Movements, and Concepts</w:t>
      </w:r>
      <w:r w:rsidRPr="00AB383B">
        <w:rPr>
          <w:rFonts w:ascii="Times New Roman" w:hAnsi="Times New Roman" w:cs="Times New Roman"/>
          <w:color w:val="232323"/>
        </w:rPr>
        <w:t xml:space="preserve">, edited by Alexander J. </w:t>
      </w:r>
      <w:proofErr w:type="spellStart"/>
      <w:r w:rsidRPr="00AB383B">
        <w:rPr>
          <w:rFonts w:ascii="Times New Roman" w:hAnsi="Times New Roman" w:cs="Times New Roman"/>
          <w:color w:val="232323"/>
        </w:rPr>
        <w:t>Motyl</w:t>
      </w:r>
      <w:proofErr w:type="spellEnd"/>
      <w:r w:rsidRPr="00AB383B">
        <w:rPr>
          <w:rFonts w:ascii="Times New Roman" w:hAnsi="Times New Roman" w:cs="Times New Roman"/>
          <w:color w:val="232323"/>
        </w:rPr>
        <w:t>. Elsevier Science &amp; Technology, 2000. </w:t>
      </w:r>
    </w:p>
    <w:p w14:paraId="2F010F01" w14:textId="77777777" w:rsidR="00801940" w:rsidRDefault="00801940" w:rsidP="00280C35">
      <w:pPr>
        <w:pStyle w:val="FootnoteText"/>
        <w:ind w:left="720" w:hanging="720"/>
        <w:rPr>
          <w:rFonts w:ascii="Times New Roman" w:hAnsi="Times New Roman" w:cs="Times New Roman"/>
        </w:rPr>
      </w:pPr>
    </w:p>
    <w:p w14:paraId="4D5B4689" w14:textId="6D69D5C1" w:rsidR="00706487" w:rsidRDefault="00706487" w:rsidP="00280C35">
      <w:pPr>
        <w:pStyle w:val="FootnoteText"/>
        <w:ind w:left="720" w:hanging="720"/>
        <w:rPr>
          <w:rFonts w:ascii="Times New Roman" w:hAnsi="Times New Roman" w:cs="Times New Roman"/>
        </w:rPr>
      </w:pPr>
      <w:proofErr w:type="spellStart"/>
      <w:r w:rsidRPr="00AC639C">
        <w:rPr>
          <w:rFonts w:ascii="Times New Roman" w:hAnsi="Times New Roman" w:cs="Times New Roman"/>
        </w:rPr>
        <w:t>Blommaert</w:t>
      </w:r>
      <w:proofErr w:type="spellEnd"/>
      <w:r w:rsidRPr="00AC639C">
        <w:rPr>
          <w:rFonts w:ascii="Times New Roman" w:hAnsi="Times New Roman" w:cs="Times New Roman"/>
        </w:rPr>
        <w:t>,</w:t>
      </w:r>
      <w:r w:rsidRPr="00706487">
        <w:rPr>
          <w:rFonts w:ascii="Times New Roman" w:hAnsi="Times New Roman" w:cs="Times New Roman"/>
        </w:rPr>
        <w:t xml:space="preserve"> </w:t>
      </w:r>
      <w:r>
        <w:rPr>
          <w:rFonts w:ascii="Times New Roman" w:hAnsi="Times New Roman" w:cs="Times New Roman"/>
        </w:rPr>
        <w:t>Phillip M.</w:t>
      </w:r>
      <w:r w:rsidRPr="00AC639C">
        <w:rPr>
          <w:rFonts w:ascii="Times New Roman" w:hAnsi="Times New Roman" w:cs="Times New Roman"/>
        </w:rPr>
        <w:t xml:space="preserve"> “Observations on th</w:t>
      </w:r>
      <w:r>
        <w:rPr>
          <w:rFonts w:ascii="Times New Roman" w:hAnsi="Times New Roman" w:cs="Times New Roman"/>
        </w:rPr>
        <w:t>e Neglect of the Dutch Language.” I</w:t>
      </w:r>
      <w:r w:rsidRPr="00AC639C">
        <w:rPr>
          <w:rFonts w:ascii="Times New Roman" w:hAnsi="Times New Roman" w:cs="Times New Roman"/>
        </w:rPr>
        <w:t xml:space="preserve">n </w:t>
      </w:r>
      <w:proofErr w:type="gramStart"/>
      <w:r w:rsidRPr="00AC639C">
        <w:rPr>
          <w:rFonts w:ascii="Times New Roman" w:hAnsi="Times New Roman" w:cs="Times New Roman"/>
          <w:i/>
        </w:rPr>
        <w:t>The</w:t>
      </w:r>
      <w:proofErr w:type="gramEnd"/>
      <w:r w:rsidRPr="00AC639C">
        <w:rPr>
          <w:rFonts w:ascii="Times New Roman" w:hAnsi="Times New Roman" w:cs="Times New Roman"/>
          <w:i/>
        </w:rPr>
        <w:t xml:space="preserve"> Flemish Movement: A Documentary History</w:t>
      </w:r>
      <w:r w:rsidR="000F2E24">
        <w:rPr>
          <w:rFonts w:ascii="Times New Roman" w:hAnsi="Times New Roman" w:cs="Times New Roman"/>
        </w:rPr>
        <w:t>. E</w:t>
      </w:r>
      <w:r w:rsidRPr="00AC639C">
        <w:rPr>
          <w:rFonts w:ascii="Times New Roman" w:hAnsi="Times New Roman" w:cs="Times New Roman"/>
        </w:rPr>
        <w:t>d</w:t>
      </w:r>
      <w:r w:rsidR="000F2E24">
        <w:rPr>
          <w:rFonts w:ascii="Times New Roman" w:hAnsi="Times New Roman" w:cs="Times New Roman"/>
        </w:rPr>
        <w:t xml:space="preserve">ited by Theo </w:t>
      </w:r>
      <w:proofErr w:type="spellStart"/>
      <w:r w:rsidR="000F2E24">
        <w:rPr>
          <w:rFonts w:ascii="Times New Roman" w:hAnsi="Times New Roman" w:cs="Times New Roman"/>
        </w:rPr>
        <w:t>Hermans</w:t>
      </w:r>
      <w:proofErr w:type="spellEnd"/>
      <w:r w:rsidR="000F2E24">
        <w:rPr>
          <w:rFonts w:ascii="Times New Roman" w:hAnsi="Times New Roman" w:cs="Times New Roman"/>
        </w:rPr>
        <w:t xml:space="preserve"> Co-edited by</w:t>
      </w:r>
      <w:r w:rsidRPr="00AC639C">
        <w:rPr>
          <w:rFonts w:ascii="Times New Roman" w:hAnsi="Times New Roman" w:cs="Times New Roman"/>
        </w:rPr>
        <w:t xml:space="preserve"> Louis </w:t>
      </w:r>
      <w:proofErr w:type="spellStart"/>
      <w:r w:rsidRPr="00AC639C">
        <w:rPr>
          <w:rFonts w:ascii="Times New Roman" w:hAnsi="Times New Roman" w:cs="Times New Roman"/>
        </w:rPr>
        <w:t>Vos</w:t>
      </w:r>
      <w:proofErr w:type="spellEnd"/>
      <w:r w:rsidRPr="00AC639C">
        <w:rPr>
          <w:rFonts w:ascii="Times New Roman" w:hAnsi="Times New Roman" w:cs="Times New Roman"/>
        </w:rPr>
        <w:t xml:space="preserve"> and</w:t>
      </w:r>
      <w:r w:rsidR="007811DD">
        <w:rPr>
          <w:rFonts w:ascii="Times New Roman" w:hAnsi="Times New Roman" w:cs="Times New Roman"/>
        </w:rPr>
        <w:t xml:space="preserve"> Lode </w:t>
      </w:r>
      <w:proofErr w:type="spellStart"/>
      <w:r w:rsidR="007811DD">
        <w:rPr>
          <w:rFonts w:ascii="Times New Roman" w:hAnsi="Times New Roman" w:cs="Times New Roman"/>
        </w:rPr>
        <w:t>Wils</w:t>
      </w:r>
      <w:proofErr w:type="spellEnd"/>
      <w:r w:rsidR="007811DD">
        <w:rPr>
          <w:rFonts w:ascii="Times New Roman" w:hAnsi="Times New Roman" w:cs="Times New Roman"/>
        </w:rPr>
        <w:t xml:space="preserve"> </w:t>
      </w:r>
      <w:r w:rsidRPr="00AC639C">
        <w:rPr>
          <w:rFonts w:ascii="Times New Roman" w:hAnsi="Times New Roman" w:cs="Times New Roman"/>
        </w:rPr>
        <w:t>L</w:t>
      </w:r>
      <w:r w:rsidR="007811DD">
        <w:rPr>
          <w:rFonts w:ascii="Times New Roman" w:hAnsi="Times New Roman" w:cs="Times New Roman"/>
        </w:rPr>
        <w:t xml:space="preserve">ondon: The </w:t>
      </w:r>
      <w:proofErr w:type="spellStart"/>
      <w:r w:rsidR="007811DD">
        <w:rPr>
          <w:rFonts w:ascii="Times New Roman" w:hAnsi="Times New Roman" w:cs="Times New Roman"/>
        </w:rPr>
        <w:t>Athlone</w:t>
      </w:r>
      <w:proofErr w:type="spellEnd"/>
      <w:r w:rsidR="007811DD">
        <w:rPr>
          <w:rFonts w:ascii="Times New Roman" w:hAnsi="Times New Roman" w:cs="Times New Roman"/>
        </w:rPr>
        <w:t xml:space="preserve"> Press, 1992,</w:t>
      </w:r>
      <w:r w:rsidRPr="00AC639C">
        <w:rPr>
          <w:rFonts w:ascii="Times New Roman" w:hAnsi="Times New Roman" w:cs="Times New Roman"/>
        </w:rPr>
        <w:t xml:space="preserve"> 75</w:t>
      </w:r>
      <w:r w:rsidR="007811DD">
        <w:rPr>
          <w:rFonts w:ascii="Times New Roman" w:hAnsi="Times New Roman" w:cs="Times New Roman"/>
        </w:rPr>
        <w:t>-83</w:t>
      </w:r>
      <w:r w:rsidRPr="00AC639C">
        <w:rPr>
          <w:rFonts w:ascii="Times New Roman" w:hAnsi="Times New Roman" w:cs="Times New Roman"/>
        </w:rPr>
        <w:t>.</w:t>
      </w:r>
    </w:p>
    <w:p w14:paraId="56A96963" w14:textId="77777777" w:rsidR="00801940" w:rsidRDefault="00801940" w:rsidP="00280C35">
      <w:pPr>
        <w:pStyle w:val="FootnoteText"/>
        <w:ind w:left="720" w:hanging="720"/>
        <w:rPr>
          <w:rFonts w:ascii="Times New Roman" w:hAnsi="Times New Roman" w:cs="Times New Roman"/>
        </w:rPr>
      </w:pPr>
    </w:p>
    <w:p w14:paraId="499FFBE1" w14:textId="301DD478" w:rsidR="004F00CC" w:rsidRDefault="004F00CC" w:rsidP="00280C35">
      <w:pPr>
        <w:pStyle w:val="FootnoteText"/>
        <w:ind w:left="720" w:hanging="720"/>
        <w:rPr>
          <w:rFonts w:ascii="Times New Roman" w:hAnsi="Times New Roman" w:cs="Times New Roman"/>
        </w:rPr>
      </w:pPr>
      <w:r w:rsidRPr="00AC639C">
        <w:rPr>
          <w:rFonts w:ascii="Times New Roman" w:hAnsi="Times New Roman" w:cs="Times New Roman"/>
        </w:rPr>
        <w:t>Burns, Robert</w:t>
      </w:r>
      <w:r>
        <w:rPr>
          <w:rFonts w:ascii="Times New Roman" w:hAnsi="Times New Roman" w:cs="Times New Roman"/>
        </w:rPr>
        <w:t>.</w:t>
      </w:r>
      <w:r w:rsidRPr="00AC639C">
        <w:rPr>
          <w:rFonts w:ascii="Times New Roman" w:hAnsi="Times New Roman" w:cs="Times New Roman"/>
        </w:rPr>
        <w:t xml:space="preserve"> </w:t>
      </w:r>
      <w:r w:rsidRPr="00AC639C">
        <w:rPr>
          <w:rFonts w:ascii="Times New Roman" w:hAnsi="Times New Roman" w:cs="Times New Roman"/>
          <w:i/>
        </w:rPr>
        <w:t>Notes on Scottish Songs</w:t>
      </w:r>
      <w:r>
        <w:rPr>
          <w:rFonts w:ascii="Times New Roman" w:hAnsi="Times New Roman" w:cs="Times New Roman"/>
        </w:rPr>
        <w:t xml:space="preserve">. Edited by James C. Dick. London: Henry </w:t>
      </w:r>
      <w:proofErr w:type="spellStart"/>
      <w:r>
        <w:rPr>
          <w:rFonts w:ascii="Times New Roman" w:hAnsi="Times New Roman" w:cs="Times New Roman"/>
        </w:rPr>
        <w:t>Frowde</w:t>
      </w:r>
      <w:proofErr w:type="spellEnd"/>
      <w:r>
        <w:rPr>
          <w:rFonts w:ascii="Times New Roman" w:hAnsi="Times New Roman" w:cs="Times New Roman"/>
        </w:rPr>
        <w:t>, 1908</w:t>
      </w:r>
      <w:r w:rsidRPr="00AC639C">
        <w:rPr>
          <w:rFonts w:ascii="Times New Roman" w:hAnsi="Times New Roman" w:cs="Times New Roman"/>
        </w:rPr>
        <w:t>.</w:t>
      </w:r>
    </w:p>
    <w:p w14:paraId="3C3CD481" w14:textId="77777777" w:rsidR="00801940" w:rsidRDefault="00801940" w:rsidP="00280C35">
      <w:pPr>
        <w:pStyle w:val="FootnoteText"/>
        <w:ind w:left="720" w:hanging="720"/>
        <w:rPr>
          <w:rFonts w:ascii="Times New Roman" w:hAnsi="Times New Roman" w:cs="Times New Roman"/>
        </w:rPr>
      </w:pPr>
    </w:p>
    <w:p w14:paraId="52E974C4" w14:textId="455E2FE5" w:rsidR="00043C7B" w:rsidRDefault="00801940" w:rsidP="00280C35">
      <w:pPr>
        <w:pStyle w:val="FootnoteText"/>
        <w:ind w:left="720" w:hanging="720"/>
        <w:rPr>
          <w:rFonts w:ascii="Times New Roman" w:hAnsi="Times New Roman" w:cs="Times New Roman"/>
        </w:rPr>
      </w:pPr>
      <w:r>
        <w:rPr>
          <w:rFonts w:ascii="Times New Roman" w:hAnsi="Times New Roman" w:cs="Times New Roman"/>
        </w:rPr>
        <w:t>---</w:t>
      </w:r>
      <w:r w:rsidR="00043C7B" w:rsidRPr="00AC639C">
        <w:rPr>
          <w:rFonts w:ascii="Times New Roman" w:hAnsi="Times New Roman" w:cs="Times New Roman"/>
        </w:rPr>
        <w:t>, Robert</w:t>
      </w:r>
      <w:r w:rsidR="00043C7B">
        <w:rPr>
          <w:rFonts w:ascii="Times New Roman" w:hAnsi="Times New Roman" w:cs="Times New Roman"/>
        </w:rPr>
        <w:t>.</w:t>
      </w:r>
      <w:r w:rsidR="00043C7B" w:rsidRPr="00AC639C">
        <w:rPr>
          <w:rFonts w:ascii="Times New Roman" w:hAnsi="Times New Roman" w:cs="Times New Roman"/>
        </w:rPr>
        <w:t xml:space="preserve"> </w:t>
      </w:r>
      <w:r w:rsidR="00043C7B" w:rsidRPr="00AC639C">
        <w:rPr>
          <w:rFonts w:ascii="Times New Roman" w:hAnsi="Times New Roman" w:cs="Times New Roman"/>
          <w:i/>
        </w:rPr>
        <w:t>Remarks on Scottish Songs and Ballads, Ancient and Modern. With Anecdotes of their Authors</w:t>
      </w:r>
      <w:r w:rsidR="00043C7B">
        <w:rPr>
          <w:rFonts w:ascii="Times New Roman" w:hAnsi="Times New Roman" w:cs="Times New Roman"/>
        </w:rPr>
        <w:t>.</w:t>
      </w:r>
      <w:r w:rsidR="00043C7B" w:rsidRPr="00AC639C">
        <w:rPr>
          <w:rFonts w:ascii="Times New Roman" w:hAnsi="Times New Roman" w:cs="Times New Roman"/>
          <w:i/>
        </w:rPr>
        <w:t xml:space="preserve"> </w:t>
      </w:r>
      <w:r w:rsidR="00043C7B" w:rsidRPr="00AC639C">
        <w:rPr>
          <w:rFonts w:ascii="Times New Roman" w:hAnsi="Times New Roman" w:cs="Times New Roman"/>
        </w:rPr>
        <w:t>London</w:t>
      </w:r>
      <w:r w:rsidR="00043C7B">
        <w:rPr>
          <w:rFonts w:ascii="Times New Roman" w:hAnsi="Times New Roman" w:cs="Times New Roman"/>
        </w:rPr>
        <w:t xml:space="preserve">: John James </w:t>
      </w:r>
      <w:proofErr w:type="spellStart"/>
      <w:r w:rsidR="00043C7B">
        <w:rPr>
          <w:rFonts w:ascii="Times New Roman" w:hAnsi="Times New Roman" w:cs="Times New Roman"/>
        </w:rPr>
        <w:t>Chidley</w:t>
      </w:r>
      <w:proofErr w:type="spellEnd"/>
      <w:r w:rsidR="00043C7B">
        <w:rPr>
          <w:rFonts w:ascii="Times New Roman" w:hAnsi="Times New Roman" w:cs="Times New Roman"/>
        </w:rPr>
        <w:t>, 1841</w:t>
      </w:r>
      <w:r w:rsidR="00043C7B" w:rsidRPr="00AC639C">
        <w:rPr>
          <w:rFonts w:ascii="Times New Roman" w:hAnsi="Times New Roman" w:cs="Times New Roman"/>
        </w:rPr>
        <w:t>.</w:t>
      </w:r>
    </w:p>
    <w:p w14:paraId="4960405A" w14:textId="77777777" w:rsidR="00801940" w:rsidRDefault="00801940" w:rsidP="00280C35">
      <w:pPr>
        <w:pStyle w:val="FootnoteText"/>
        <w:ind w:left="720" w:hanging="720"/>
        <w:rPr>
          <w:rFonts w:ascii="Times New Roman" w:hAnsi="Times New Roman" w:cs="Times New Roman"/>
        </w:rPr>
      </w:pPr>
    </w:p>
    <w:p w14:paraId="627ACF13" w14:textId="64C4F6E5" w:rsidR="00043C7B" w:rsidRDefault="00043C7B" w:rsidP="00280C35">
      <w:pPr>
        <w:pStyle w:val="FootnoteText"/>
        <w:ind w:left="720" w:hanging="720"/>
        <w:rPr>
          <w:rFonts w:ascii="Times New Roman" w:hAnsi="Times New Roman" w:cs="Times New Roman"/>
        </w:rPr>
      </w:pPr>
      <w:r w:rsidRPr="00AC639C">
        <w:rPr>
          <w:rFonts w:ascii="Times New Roman" w:hAnsi="Times New Roman" w:cs="Times New Roman"/>
        </w:rPr>
        <w:t>Campbell,</w:t>
      </w:r>
      <w:r w:rsidRPr="00043C7B">
        <w:rPr>
          <w:rFonts w:ascii="Times New Roman" w:hAnsi="Times New Roman" w:cs="Times New Roman"/>
        </w:rPr>
        <w:t xml:space="preserve"> </w:t>
      </w:r>
      <w:r w:rsidRPr="00AC639C">
        <w:rPr>
          <w:rFonts w:ascii="Times New Roman" w:hAnsi="Times New Roman" w:cs="Times New Roman"/>
        </w:rPr>
        <w:t>Alexander</w:t>
      </w:r>
      <w:r>
        <w:rPr>
          <w:rFonts w:ascii="Times New Roman" w:hAnsi="Times New Roman" w:cs="Times New Roman"/>
        </w:rPr>
        <w:t>.</w:t>
      </w:r>
      <w:r w:rsidRPr="00AC639C">
        <w:rPr>
          <w:rFonts w:ascii="Times New Roman" w:hAnsi="Times New Roman" w:cs="Times New Roman"/>
        </w:rPr>
        <w:t xml:space="preserve"> </w:t>
      </w:r>
      <w:r w:rsidRPr="00AC639C">
        <w:rPr>
          <w:rFonts w:ascii="Times New Roman" w:hAnsi="Times New Roman" w:cs="Times New Roman"/>
          <w:i/>
        </w:rPr>
        <w:t>An Introduction to the History of Poetry in Scotland, from the Beginning of the Thirteenth Century down to the Present Time</w:t>
      </w:r>
      <w:r>
        <w:rPr>
          <w:rFonts w:ascii="Times New Roman" w:hAnsi="Times New Roman" w:cs="Times New Roman"/>
        </w:rPr>
        <w:t xml:space="preserve">. </w:t>
      </w:r>
      <w:r w:rsidRPr="00AC639C">
        <w:rPr>
          <w:rFonts w:ascii="Times New Roman" w:hAnsi="Times New Roman" w:cs="Times New Roman"/>
        </w:rPr>
        <w:t>New York: Garla</w:t>
      </w:r>
      <w:r>
        <w:rPr>
          <w:rFonts w:ascii="Times New Roman" w:hAnsi="Times New Roman" w:cs="Times New Roman"/>
        </w:rPr>
        <w:t>nd Publishing, Inc., 1798.</w:t>
      </w:r>
    </w:p>
    <w:p w14:paraId="0C91A693" w14:textId="77777777" w:rsidR="00801940" w:rsidRDefault="00801940" w:rsidP="00280C35">
      <w:pPr>
        <w:pStyle w:val="FootnoteText"/>
        <w:ind w:left="720" w:hanging="720"/>
        <w:rPr>
          <w:rFonts w:ascii="Times New Roman" w:hAnsi="Times New Roman" w:cs="Times New Roman"/>
        </w:rPr>
      </w:pPr>
    </w:p>
    <w:p w14:paraId="09B7454E" w14:textId="5EA611C5" w:rsidR="004C3540" w:rsidRDefault="004C3540" w:rsidP="00280C35">
      <w:pPr>
        <w:pStyle w:val="FootnoteText"/>
        <w:ind w:left="720" w:hanging="720"/>
        <w:rPr>
          <w:rFonts w:ascii="Times New Roman" w:hAnsi="Times New Roman" w:cs="Times New Roman"/>
        </w:rPr>
      </w:pPr>
      <w:r w:rsidRPr="00AC639C">
        <w:rPr>
          <w:rFonts w:ascii="Times New Roman" w:hAnsi="Times New Roman" w:cs="Times New Roman"/>
        </w:rPr>
        <w:t xml:space="preserve">Choi, </w:t>
      </w:r>
      <w:proofErr w:type="spellStart"/>
      <w:r w:rsidRPr="00AC639C">
        <w:rPr>
          <w:rFonts w:ascii="Times New Roman" w:hAnsi="Times New Roman" w:cs="Times New Roman"/>
        </w:rPr>
        <w:t>Hak</w:t>
      </w:r>
      <w:proofErr w:type="spellEnd"/>
      <w:r w:rsidRPr="00AC639C">
        <w:rPr>
          <w:rFonts w:ascii="Times New Roman" w:hAnsi="Times New Roman" w:cs="Times New Roman"/>
        </w:rPr>
        <w:t xml:space="preserve"> </w:t>
      </w:r>
      <w:proofErr w:type="spellStart"/>
      <w:r w:rsidRPr="00AC639C">
        <w:rPr>
          <w:rFonts w:ascii="Times New Roman" w:hAnsi="Times New Roman" w:cs="Times New Roman"/>
        </w:rPr>
        <w:t>Joo</w:t>
      </w:r>
      <w:proofErr w:type="spellEnd"/>
      <w:r>
        <w:rPr>
          <w:rFonts w:ascii="Times New Roman" w:hAnsi="Times New Roman" w:cs="Times New Roman"/>
        </w:rPr>
        <w:t>.</w:t>
      </w:r>
      <w:r w:rsidRPr="00AC639C">
        <w:rPr>
          <w:rFonts w:ascii="Times New Roman" w:hAnsi="Times New Roman" w:cs="Times New Roman"/>
        </w:rPr>
        <w:t xml:space="preserve"> </w:t>
      </w:r>
      <w:proofErr w:type="spellStart"/>
      <w:r w:rsidRPr="00AC639C">
        <w:rPr>
          <w:rFonts w:ascii="Times New Roman" w:hAnsi="Times New Roman" w:cs="Times New Roman"/>
          <w:i/>
        </w:rPr>
        <w:t>Yuktang</w:t>
      </w:r>
      <w:proofErr w:type="spellEnd"/>
      <w:r w:rsidRPr="00AC639C">
        <w:rPr>
          <w:rFonts w:ascii="Times New Roman" w:hAnsi="Times New Roman" w:cs="Times New Roman"/>
          <w:i/>
        </w:rPr>
        <w:t xml:space="preserve"> </w:t>
      </w:r>
      <w:proofErr w:type="spellStart"/>
      <w:r w:rsidRPr="00AC639C">
        <w:rPr>
          <w:rFonts w:ascii="Times New Roman" w:hAnsi="Times New Roman" w:cs="Times New Roman"/>
          <w:i/>
        </w:rPr>
        <w:t>Ch’oe</w:t>
      </w:r>
      <w:proofErr w:type="spellEnd"/>
      <w:r w:rsidRPr="00AC639C">
        <w:rPr>
          <w:rFonts w:ascii="Times New Roman" w:hAnsi="Times New Roman" w:cs="Times New Roman"/>
          <w:i/>
        </w:rPr>
        <w:t xml:space="preserve"> Nam-</w:t>
      </w:r>
      <w:proofErr w:type="spellStart"/>
      <w:r w:rsidRPr="00AC639C">
        <w:rPr>
          <w:rFonts w:ascii="Times New Roman" w:hAnsi="Times New Roman" w:cs="Times New Roman"/>
          <w:i/>
        </w:rPr>
        <w:t>sōn</w:t>
      </w:r>
      <w:proofErr w:type="spellEnd"/>
      <w:r w:rsidRPr="00AC639C">
        <w:rPr>
          <w:rFonts w:ascii="Times New Roman" w:hAnsi="Times New Roman" w:cs="Times New Roman"/>
          <w:i/>
        </w:rPr>
        <w:t xml:space="preserve"> and Korean Modernity</w:t>
      </w:r>
      <w:r>
        <w:rPr>
          <w:rFonts w:ascii="Times New Roman" w:hAnsi="Times New Roman" w:cs="Times New Roman"/>
        </w:rPr>
        <w:t>. Translated by</w:t>
      </w:r>
      <w:r w:rsidRPr="00AC639C">
        <w:rPr>
          <w:rFonts w:ascii="Times New Roman" w:hAnsi="Times New Roman" w:cs="Times New Roman"/>
        </w:rPr>
        <w:t xml:space="preserve"> </w:t>
      </w:r>
      <w:proofErr w:type="spellStart"/>
      <w:r w:rsidRPr="00AC639C">
        <w:rPr>
          <w:rFonts w:ascii="Times New Roman" w:hAnsi="Times New Roman" w:cs="Times New Roman"/>
        </w:rPr>
        <w:t>Yer</w:t>
      </w:r>
      <w:proofErr w:type="spellEnd"/>
      <w:r w:rsidRPr="00AC639C">
        <w:rPr>
          <w:rFonts w:ascii="Times New Roman" w:hAnsi="Times New Roman" w:cs="Times New Roman"/>
        </w:rPr>
        <w:t>-ae K. Choi</w:t>
      </w:r>
      <w:r w:rsidR="00CC2C87">
        <w:rPr>
          <w:rFonts w:ascii="Times New Roman" w:hAnsi="Times New Roman" w:cs="Times New Roman"/>
        </w:rPr>
        <w:t>. Seoul: YBM, 2012</w:t>
      </w:r>
      <w:r w:rsidRPr="00AC639C">
        <w:rPr>
          <w:rFonts w:ascii="Times New Roman" w:hAnsi="Times New Roman" w:cs="Times New Roman"/>
        </w:rPr>
        <w:t>.</w:t>
      </w:r>
    </w:p>
    <w:p w14:paraId="4AAFFBC4" w14:textId="77777777" w:rsidR="00801940" w:rsidRDefault="00801940" w:rsidP="00280C35">
      <w:pPr>
        <w:pStyle w:val="FootnoteText"/>
        <w:ind w:left="720" w:hanging="720"/>
        <w:rPr>
          <w:rFonts w:ascii="Times New Roman" w:hAnsi="Times New Roman" w:cs="Times New Roman"/>
        </w:rPr>
      </w:pPr>
    </w:p>
    <w:p w14:paraId="5B2C32A6" w14:textId="0B026767" w:rsidR="00E91B4F" w:rsidRDefault="00E91B4F" w:rsidP="00280C35">
      <w:pPr>
        <w:pStyle w:val="FootnoteText"/>
        <w:ind w:left="720" w:hanging="720"/>
        <w:rPr>
          <w:rFonts w:ascii="Times New Roman" w:hAnsi="Times New Roman" w:cs="Times New Roman"/>
        </w:rPr>
      </w:pPr>
      <w:r w:rsidRPr="00AC639C">
        <w:rPr>
          <w:rFonts w:ascii="Times New Roman" w:hAnsi="Times New Roman" w:cs="Times New Roman"/>
        </w:rPr>
        <w:t>Clough,</w:t>
      </w:r>
      <w:r w:rsidRPr="00E91B4F">
        <w:rPr>
          <w:rFonts w:ascii="Times New Roman" w:hAnsi="Times New Roman" w:cs="Times New Roman"/>
        </w:rPr>
        <w:t xml:space="preserve"> </w:t>
      </w:r>
      <w:r>
        <w:rPr>
          <w:rFonts w:ascii="Times New Roman" w:hAnsi="Times New Roman" w:cs="Times New Roman"/>
        </w:rPr>
        <w:t>Shepard B.</w:t>
      </w:r>
      <w:r w:rsidRPr="00AC639C">
        <w:rPr>
          <w:rFonts w:ascii="Times New Roman" w:hAnsi="Times New Roman" w:cs="Times New Roman"/>
        </w:rPr>
        <w:t xml:space="preserve"> </w:t>
      </w:r>
      <w:r>
        <w:rPr>
          <w:rFonts w:ascii="Times New Roman" w:hAnsi="Times New Roman" w:cs="Times New Roman"/>
          <w:i/>
        </w:rPr>
        <w:t xml:space="preserve">A History of the Flemish Movement in </w:t>
      </w:r>
      <w:r w:rsidRPr="00AC639C">
        <w:rPr>
          <w:rFonts w:ascii="Times New Roman" w:hAnsi="Times New Roman" w:cs="Times New Roman"/>
          <w:i/>
        </w:rPr>
        <w:t>Belgium: A Study in Nationalism</w:t>
      </w:r>
      <w:r>
        <w:rPr>
          <w:rFonts w:ascii="Times New Roman" w:hAnsi="Times New Roman" w:cs="Times New Roman"/>
        </w:rPr>
        <w:t xml:space="preserve"> </w:t>
      </w:r>
      <w:r w:rsidRPr="00AC639C">
        <w:rPr>
          <w:rFonts w:ascii="Times New Roman" w:hAnsi="Times New Roman" w:cs="Times New Roman"/>
        </w:rPr>
        <w:t xml:space="preserve">New </w:t>
      </w:r>
      <w:r>
        <w:rPr>
          <w:rFonts w:ascii="Times New Roman" w:hAnsi="Times New Roman" w:cs="Times New Roman"/>
        </w:rPr>
        <w:t xml:space="preserve">York: Octagon </w:t>
      </w:r>
      <w:proofErr w:type="spellStart"/>
      <w:r>
        <w:rPr>
          <w:rFonts w:ascii="Times New Roman" w:hAnsi="Times New Roman" w:cs="Times New Roman"/>
        </w:rPr>
        <w:t>Bookd</w:t>
      </w:r>
      <w:proofErr w:type="spellEnd"/>
      <w:r>
        <w:rPr>
          <w:rFonts w:ascii="Times New Roman" w:hAnsi="Times New Roman" w:cs="Times New Roman"/>
        </w:rPr>
        <w:t>, Inc., 1930.</w:t>
      </w:r>
    </w:p>
    <w:p w14:paraId="5C5A680A" w14:textId="77777777" w:rsidR="00801940" w:rsidRDefault="00801940" w:rsidP="00280C35">
      <w:pPr>
        <w:pStyle w:val="FootnoteText"/>
        <w:ind w:left="720" w:hanging="720"/>
        <w:rPr>
          <w:rFonts w:ascii="Times New Roman" w:hAnsi="Times New Roman" w:cs="Times New Roman"/>
        </w:rPr>
      </w:pPr>
    </w:p>
    <w:p w14:paraId="0C11746D" w14:textId="1912D3D4" w:rsidR="005F4A01" w:rsidRDefault="005F4A01" w:rsidP="00280C35">
      <w:pPr>
        <w:pStyle w:val="FootnoteText"/>
        <w:ind w:left="720" w:hanging="720"/>
        <w:rPr>
          <w:rFonts w:ascii="Times New Roman" w:hAnsi="Times New Roman" w:cs="Times New Roman"/>
        </w:rPr>
      </w:pPr>
      <w:r w:rsidRPr="009F35FF">
        <w:rPr>
          <w:rFonts w:ascii="Times New Roman" w:hAnsi="Times New Roman" w:cs="Times New Roman"/>
        </w:rPr>
        <w:t>Collard,</w:t>
      </w:r>
      <w:r w:rsidRPr="005F4A01">
        <w:rPr>
          <w:rFonts w:ascii="Times New Roman" w:hAnsi="Times New Roman" w:cs="Times New Roman"/>
        </w:rPr>
        <w:t xml:space="preserve"> </w:t>
      </w:r>
      <w:r w:rsidRPr="009F35FF">
        <w:rPr>
          <w:rFonts w:ascii="Times New Roman" w:hAnsi="Times New Roman" w:cs="Times New Roman"/>
        </w:rPr>
        <w:t>Christophe</w:t>
      </w:r>
      <w:r>
        <w:rPr>
          <w:rFonts w:ascii="Times New Roman" w:hAnsi="Times New Roman" w:cs="Times New Roman"/>
        </w:rPr>
        <w:t>.</w:t>
      </w:r>
      <w:r w:rsidRPr="009F35FF">
        <w:rPr>
          <w:rFonts w:ascii="Times New Roman" w:hAnsi="Times New Roman" w:cs="Times New Roman"/>
        </w:rPr>
        <w:t xml:space="preserve"> “Bye </w:t>
      </w:r>
      <w:proofErr w:type="spellStart"/>
      <w:r w:rsidRPr="009F35FF">
        <w:rPr>
          <w:rFonts w:ascii="Times New Roman" w:hAnsi="Times New Roman" w:cs="Times New Roman"/>
        </w:rPr>
        <w:t>Bye</w:t>
      </w:r>
      <w:proofErr w:type="spellEnd"/>
      <w:r w:rsidRPr="009F35FF">
        <w:rPr>
          <w:rFonts w:ascii="Times New Roman" w:hAnsi="Times New Roman" w:cs="Times New Roman"/>
        </w:rPr>
        <w:t xml:space="preserve"> Belgium: remediating Fl</w:t>
      </w:r>
      <w:r>
        <w:rPr>
          <w:rFonts w:ascii="Times New Roman" w:hAnsi="Times New Roman" w:cs="Times New Roman"/>
        </w:rPr>
        <w:t>emish nationalism in prime time.</w:t>
      </w:r>
      <w:r w:rsidRPr="009F35FF">
        <w:rPr>
          <w:rFonts w:ascii="Times New Roman" w:hAnsi="Times New Roman" w:cs="Times New Roman"/>
        </w:rPr>
        <w:t xml:space="preserve">” </w:t>
      </w:r>
      <w:r w:rsidRPr="009F35FF">
        <w:rPr>
          <w:rFonts w:ascii="Times New Roman" w:hAnsi="Times New Roman" w:cs="Times New Roman"/>
          <w:i/>
        </w:rPr>
        <w:t>Rethinking</w:t>
      </w:r>
      <w:r w:rsidRPr="009F35FF">
        <w:rPr>
          <w:rFonts w:ascii="Times New Roman" w:hAnsi="Times New Roman" w:cs="Times New Roman"/>
        </w:rPr>
        <w:t xml:space="preserve"> 18 no. 4 (2014):</w:t>
      </w:r>
      <w:r>
        <w:rPr>
          <w:rFonts w:ascii="Times New Roman" w:hAnsi="Times New Roman" w:cs="Times New Roman"/>
        </w:rPr>
        <w:t xml:space="preserve"> 543-555</w:t>
      </w:r>
      <w:r w:rsidRPr="009F35FF">
        <w:rPr>
          <w:rFonts w:ascii="Times New Roman" w:hAnsi="Times New Roman" w:cs="Times New Roman"/>
        </w:rPr>
        <w:t>.</w:t>
      </w:r>
    </w:p>
    <w:p w14:paraId="13563FAC" w14:textId="77777777" w:rsidR="00801940" w:rsidRDefault="00801940" w:rsidP="00280C35">
      <w:pPr>
        <w:pStyle w:val="FootnoteText"/>
        <w:ind w:left="720" w:hanging="720"/>
        <w:rPr>
          <w:rFonts w:ascii="Times New Roman" w:hAnsi="Times New Roman" w:cs="Times New Roman"/>
        </w:rPr>
      </w:pPr>
    </w:p>
    <w:p w14:paraId="1E1DF46E" w14:textId="58F2C798" w:rsidR="00940310" w:rsidRDefault="00940310" w:rsidP="00280C35">
      <w:pPr>
        <w:pStyle w:val="FootnoteText"/>
        <w:ind w:left="720" w:hanging="720"/>
        <w:rPr>
          <w:rFonts w:ascii="Times New Roman" w:hAnsi="Times New Roman" w:cs="Times New Roman"/>
        </w:rPr>
      </w:pPr>
      <w:r>
        <w:rPr>
          <w:rFonts w:ascii="Times New Roman" w:hAnsi="Times New Roman" w:cs="Times New Roman"/>
        </w:rPr>
        <w:t>Conscience,</w:t>
      </w:r>
      <w:r w:rsidRPr="00940310">
        <w:rPr>
          <w:rFonts w:ascii="Times New Roman" w:hAnsi="Times New Roman" w:cs="Times New Roman"/>
        </w:rPr>
        <w:t xml:space="preserve"> </w:t>
      </w:r>
      <w:r>
        <w:rPr>
          <w:rFonts w:ascii="Times New Roman" w:hAnsi="Times New Roman" w:cs="Times New Roman"/>
        </w:rPr>
        <w:t>Hendrik. “‘</w:t>
      </w:r>
      <w:r w:rsidRPr="00AC639C">
        <w:rPr>
          <w:rFonts w:ascii="Times New Roman" w:hAnsi="Times New Roman" w:cs="Times New Roman"/>
        </w:rPr>
        <w:t xml:space="preserve">Forward’ to </w:t>
      </w:r>
      <w:r w:rsidRPr="00AC639C">
        <w:rPr>
          <w:rFonts w:ascii="Times New Roman" w:hAnsi="Times New Roman" w:cs="Times New Roman"/>
          <w:i/>
        </w:rPr>
        <w:t>The Lion of Flanders</w:t>
      </w:r>
      <w:r>
        <w:rPr>
          <w:rFonts w:ascii="Times New Roman" w:hAnsi="Times New Roman" w:cs="Times New Roman"/>
        </w:rPr>
        <w:t>.” I</w:t>
      </w:r>
      <w:r w:rsidRPr="00AC639C">
        <w:rPr>
          <w:rFonts w:ascii="Times New Roman" w:hAnsi="Times New Roman" w:cs="Times New Roman"/>
        </w:rPr>
        <w:t xml:space="preserve">n </w:t>
      </w:r>
      <w:proofErr w:type="gramStart"/>
      <w:r w:rsidRPr="00AC639C">
        <w:rPr>
          <w:rFonts w:ascii="Times New Roman" w:hAnsi="Times New Roman" w:cs="Times New Roman"/>
          <w:i/>
        </w:rPr>
        <w:t>The</w:t>
      </w:r>
      <w:proofErr w:type="gramEnd"/>
      <w:r w:rsidRPr="00AC639C">
        <w:rPr>
          <w:rFonts w:ascii="Times New Roman" w:hAnsi="Times New Roman" w:cs="Times New Roman"/>
          <w:i/>
        </w:rPr>
        <w:t xml:space="preserve"> Flemish Movement: A Documentary History</w:t>
      </w:r>
      <w:r>
        <w:rPr>
          <w:rFonts w:ascii="Times New Roman" w:hAnsi="Times New Roman" w:cs="Times New Roman"/>
        </w:rPr>
        <w:t>. E</w:t>
      </w:r>
      <w:r w:rsidRPr="00AC639C">
        <w:rPr>
          <w:rFonts w:ascii="Times New Roman" w:hAnsi="Times New Roman" w:cs="Times New Roman"/>
        </w:rPr>
        <w:t>d</w:t>
      </w:r>
      <w:r>
        <w:rPr>
          <w:rFonts w:ascii="Times New Roman" w:hAnsi="Times New Roman" w:cs="Times New Roman"/>
        </w:rPr>
        <w:t xml:space="preserve">ited by Theo </w:t>
      </w:r>
      <w:proofErr w:type="spellStart"/>
      <w:r>
        <w:rPr>
          <w:rFonts w:ascii="Times New Roman" w:hAnsi="Times New Roman" w:cs="Times New Roman"/>
        </w:rPr>
        <w:t>Hermans</w:t>
      </w:r>
      <w:proofErr w:type="spellEnd"/>
      <w:r>
        <w:rPr>
          <w:rFonts w:ascii="Times New Roman" w:hAnsi="Times New Roman" w:cs="Times New Roman"/>
        </w:rPr>
        <w:t xml:space="preserve"> Co-edited by</w:t>
      </w:r>
      <w:r w:rsidRPr="00AC639C">
        <w:rPr>
          <w:rFonts w:ascii="Times New Roman" w:hAnsi="Times New Roman" w:cs="Times New Roman"/>
        </w:rPr>
        <w:t xml:space="preserve"> Louis </w:t>
      </w:r>
      <w:proofErr w:type="spellStart"/>
      <w:r w:rsidRPr="00AC639C">
        <w:rPr>
          <w:rFonts w:ascii="Times New Roman" w:hAnsi="Times New Roman" w:cs="Times New Roman"/>
        </w:rPr>
        <w:t>Vos</w:t>
      </w:r>
      <w:proofErr w:type="spellEnd"/>
      <w:r w:rsidRPr="00AC639C">
        <w:rPr>
          <w:rFonts w:ascii="Times New Roman" w:hAnsi="Times New Roman" w:cs="Times New Roman"/>
        </w:rPr>
        <w:t xml:space="preserve"> and Lode </w:t>
      </w:r>
      <w:proofErr w:type="spellStart"/>
      <w:r w:rsidRPr="00AC639C">
        <w:rPr>
          <w:rFonts w:ascii="Times New Roman" w:hAnsi="Times New Roman" w:cs="Times New Roman"/>
        </w:rPr>
        <w:t>Wils</w:t>
      </w:r>
      <w:proofErr w:type="spellEnd"/>
      <w:r w:rsidRPr="00AC639C">
        <w:rPr>
          <w:rFonts w:ascii="Times New Roman" w:hAnsi="Times New Roman" w:cs="Times New Roman"/>
        </w:rPr>
        <w:t xml:space="preserve"> (London: The </w:t>
      </w:r>
      <w:proofErr w:type="spellStart"/>
      <w:r w:rsidRPr="00AC639C">
        <w:rPr>
          <w:rFonts w:ascii="Times New Roman" w:hAnsi="Times New Roman" w:cs="Times New Roman"/>
        </w:rPr>
        <w:t>Athlone</w:t>
      </w:r>
      <w:proofErr w:type="spellEnd"/>
      <w:r w:rsidRPr="00AC639C">
        <w:rPr>
          <w:rFonts w:ascii="Times New Roman" w:hAnsi="Times New Roman" w:cs="Times New Roman"/>
        </w:rPr>
        <w:t xml:space="preserve"> Pr</w:t>
      </w:r>
      <w:r>
        <w:rPr>
          <w:rFonts w:ascii="Times New Roman" w:hAnsi="Times New Roman" w:cs="Times New Roman"/>
        </w:rPr>
        <w:t>ess, 1992, 86-91</w:t>
      </w:r>
      <w:r w:rsidRPr="00AC639C">
        <w:rPr>
          <w:rFonts w:ascii="Times New Roman" w:hAnsi="Times New Roman" w:cs="Times New Roman"/>
        </w:rPr>
        <w:t>.</w:t>
      </w:r>
    </w:p>
    <w:p w14:paraId="6ED55C82" w14:textId="77777777" w:rsidR="00801940" w:rsidRDefault="00801940" w:rsidP="005733CC">
      <w:pPr>
        <w:pStyle w:val="FootnoteText"/>
        <w:rPr>
          <w:rFonts w:ascii="Times New Roman" w:hAnsi="Times New Roman" w:cs="Times New Roman"/>
        </w:rPr>
      </w:pPr>
    </w:p>
    <w:p w14:paraId="48C88CE6" w14:textId="02551DA7" w:rsidR="005733CC" w:rsidRDefault="005733CC" w:rsidP="00801940">
      <w:pPr>
        <w:pStyle w:val="FootnoteText"/>
        <w:ind w:left="720" w:hanging="720"/>
        <w:rPr>
          <w:rFonts w:ascii="Times New Roman" w:hAnsi="Times New Roman" w:cs="Times New Roman"/>
        </w:rPr>
      </w:pPr>
      <w:r w:rsidRPr="00AB383B">
        <w:rPr>
          <w:rFonts w:ascii="Times New Roman" w:hAnsi="Times New Roman" w:cs="Times New Roman"/>
        </w:rPr>
        <w:t>Conscience</w:t>
      </w:r>
      <w:r>
        <w:rPr>
          <w:rFonts w:ascii="Times New Roman" w:hAnsi="Times New Roman" w:cs="Times New Roman"/>
        </w:rPr>
        <w:t xml:space="preserve">, </w:t>
      </w:r>
      <w:r w:rsidRPr="00AB383B">
        <w:rPr>
          <w:rFonts w:ascii="Times New Roman" w:hAnsi="Times New Roman" w:cs="Times New Roman"/>
        </w:rPr>
        <w:t>Hendrik</w:t>
      </w:r>
      <w:r>
        <w:rPr>
          <w:rFonts w:ascii="Times New Roman" w:hAnsi="Times New Roman" w:cs="Times New Roman"/>
        </w:rPr>
        <w:t xml:space="preserve"> and F.A. </w:t>
      </w:r>
      <w:proofErr w:type="spellStart"/>
      <w:r>
        <w:rPr>
          <w:rFonts w:ascii="Times New Roman" w:hAnsi="Times New Roman" w:cs="Times New Roman"/>
        </w:rPr>
        <w:t>Snellaert</w:t>
      </w:r>
      <w:proofErr w:type="spellEnd"/>
      <w:r>
        <w:rPr>
          <w:rFonts w:ascii="Times New Roman" w:hAnsi="Times New Roman" w:cs="Times New Roman"/>
        </w:rPr>
        <w:t>.</w:t>
      </w:r>
      <w:r w:rsidRPr="00AB383B">
        <w:rPr>
          <w:rFonts w:ascii="Times New Roman" w:hAnsi="Times New Roman" w:cs="Times New Roman"/>
        </w:rPr>
        <w:t xml:space="preserve"> “Flemish Movement: Declaration of Fundamental Principles Presented by the Defenders of the Netherlandish People’s Rights to their </w:t>
      </w:r>
      <w:r w:rsidRPr="00AB383B">
        <w:rPr>
          <w:rFonts w:ascii="Times New Roman" w:hAnsi="Times New Roman" w:cs="Times New Roman"/>
        </w:rPr>
        <w:lastRenderedPageBreak/>
        <w:t>Fellow Countrymen</w:t>
      </w:r>
      <w:r>
        <w:rPr>
          <w:rFonts w:ascii="Times New Roman" w:hAnsi="Times New Roman" w:cs="Times New Roman"/>
        </w:rPr>
        <w:t>.” I</w:t>
      </w:r>
      <w:r w:rsidRPr="00AB383B">
        <w:rPr>
          <w:rFonts w:ascii="Times New Roman" w:hAnsi="Times New Roman" w:cs="Times New Roman"/>
        </w:rPr>
        <w:t xml:space="preserve">n </w:t>
      </w:r>
      <w:proofErr w:type="gramStart"/>
      <w:r w:rsidRPr="00AB383B">
        <w:rPr>
          <w:rFonts w:ascii="Times New Roman" w:hAnsi="Times New Roman" w:cs="Times New Roman"/>
          <w:i/>
        </w:rPr>
        <w:t>The</w:t>
      </w:r>
      <w:proofErr w:type="gramEnd"/>
      <w:r w:rsidRPr="00AB383B">
        <w:rPr>
          <w:rFonts w:ascii="Times New Roman" w:hAnsi="Times New Roman" w:cs="Times New Roman"/>
          <w:i/>
        </w:rPr>
        <w:t xml:space="preserve"> Flemish Movement: A Documentary History</w:t>
      </w:r>
      <w:r>
        <w:rPr>
          <w:rFonts w:ascii="Times New Roman" w:hAnsi="Times New Roman" w:cs="Times New Roman"/>
        </w:rPr>
        <w:t xml:space="preserve">. Edited by Theo </w:t>
      </w:r>
      <w:proofErr w:type="spellStart"/>
      <w:r>
        <w:rPr>
          <w:rFonts w:ascii="Times New Roman" w:hAnsi="Times New Roman" w:cs="Times New Roman"/>
        </w:rPr>
        <w:t>Hermans</w:t>
      </w:r>
      <w:proofErr w:type="spellEnd"/>
      <w:r>
        <w:rPr>
          <w:rFonts w:ascii="Times New Roman" w:hAnsi="Times New Roman" w:cs="Times New Roman"/>
        </w:rPr>
        <w:t xml:space="preserve">, Co-edited by Louis </w:t>
      </w:r>
      <w:proofErr w:type="spellStart"/>
      <w:r>
        <w:rPr>
          <w:rFonts w:ascii="Times New Roman" w:hAnsi="Times New Roman" w:cs="Times New Roman"/>
        </w:rPr>
        <w:t>Vos</w:t>
      </w:r>
      <w:proofErr w:type="spellEnd"/>
      <w:r>
        <w:rPr>
          <w:rFonts w:ascii="Times New Roman" w:hAnsi="Times New Roman" w:cs="Times New Roman"/>
        </w:rPr>
        <w:t xml:space="preserve"> and Lode </w:t>
      </w:r>
      <w:proofErr w:type="spellStart"/>
      <w:r>
        <w:rPr>
          <w:rFonts w:ascii="Times New Roman" w:hAnsi="Times New Roman" w:cs="Times New Roman"/>
        </w:rPr>
        <w:t>Wils</w:t>
      </w:r>
      <w:proofErr w:type="spellEnd"/>
      <w:r>
        <w:rPr>
          <w:rFonts w:ascii="Times New Roman" w:hAnsi="Times New Roman" w:cs="Times New Roman"/>
        </w:rPr>
        <w:t xml:space="preserve"> </w:t>
      </w:r>
      <w:r w:rsidRPr="00AB383B">
        <w:rPr>
          <w:rFonts w:ascii="Times New Roman" w:hAnsi="Times New Roman" w:cs="Times New Roman"/>
        </w:rPr>
        <w:t>Londo</w:t>
      </w:r>
      <w:r>
        <w:rPr>
          <w:rFonts w:ascii="Times New Roman" w:hAnsi="Times New Roman" w:cs="Times New Roman"/>
        </w:rPr>
        <w:t xml:space="preserve">n: The </w:t>
      </w:r>
      <w:proofErr w:type="spellStart"/>
      <w:r>
        <w:rPr>
          <w:rFonts w:ascii="Times New Roman" w:hAnsi="Times New Roman" w:cs="Times New Roman"/>
        </w:rPr>
        <w:t>Athlone</w:t>
      </w:r>
      <w:proofErr w:type="spellEnd"/>
      <w:r>
        <w:rPr>
          <w:rFonts w:ascii="Times New Roman" w:hAnsi="Times New Roman" w:cs="Times New Roman"/>
        </w:rPr>
        <w:t xml:space="preserve"> Press, 1992, 103-107</w:t>
      </w:r>
      <w:r w:rsidRPr="00AB383B">
        <w:rPr>
          <w:rFonts w:ascii="Times New Roman" w:hAnsi="Times New Roman" w:cs="Times New Roman"/>
        </w:rPr>
        <w:t>.</w:t>
      </w:r>
    </w:p>
    <w:p w14:paraId="0A4ADBD2" w14:textId="77777777" w:rsidR="00801940" w:rsidRDefault="00801940" w:rsidP="00801940">
      <w:pPr>
        <w:pStyle w:val="FootnoteText"/>
        <w:ind w:left="720" w:hanging="720"/>
        <w:rPr>
          <w:rFonts w:ascii="Times New Roman" w:hAnsi="Times New Roman" w:cs="Times New Roman"/>
        </w:rPr>
      </w:pPr>
    </w:p>
    <w:p w14:paraId="1195B890" w14:textId="37D62A47" w:rsidR="00F36F75" w:rsidRDefault="00F36F75" w:rsidP="00801940">
      <w:pPr>
        <w:pStyle w:val="FootnoteText"/>
        <w:ind w:left="720" w:hanging="720"/>
        <w:rPr>
          <w:rFonts w:ascii="Times New Roman" w:hAnsi="Times New Roman" w:cs="Times New Roman"/>
        </w:rPr>
      </w:pPr>
      <w:r w:rsidRPr="000E69D9">
        <w:rPr>
          <w:rFonts w:ascii="Times New Roman" w:hAnsi="Times New Roman" w:cs="Times New Roman"/>
        </w:rPr>
        <w:t xml:space="preserve">Constitution Society, “The Declaration of </w:t>
      </w:r>
      <w:proofErr w:type="spellStart"/>
      <w:r w:rsidRPr="000E69D9">
        <w:rPr>
          <w:rFonts w:ascii="Times New Roman" w:hAnsi="Times New Roman" w:cs="Times New Roman"/>
        </w:rPr>
        <w:t>Arbroath</w:t>
      </w:r>
      <w:proofErr w:type="spellEnd"/>
      <w:r w:rsidRPr="000E69D9">
        <w:rPr>
          <w:rFonts w:ascii="Times New Roman" w:hAnsi="Times New Roman" w:cs="Times New Roman"/>
        </w:rPr>
        <w:t xml:space="preserve"> 1320 – English Translation,” accessed 12 November 2017, http://www.constitution.org/scot/arbroath.htm</w:t>
      </w:r>
    </w:p>
    <w:p w14:paraId="74DFACAD" w14:textId="77777777" w:rsidR="00801940" w:rsidRDefault="00801940" w:rsidP="00280C35">
      <w:pPr>
        <w:pStyle w:val="FootnoteText"/>
        <w:ind w:left="720" w:hanging="720"/>
        <w:rPr>
          <w:rFonts w:ascii="Times New Roman" w:hAnsi="Times New Roman" w:cs="Times New Roman"/>
        </w:rPr>
      </w:pPr>
    </w:p>
    <w:p w14:paraId="23F0DCE1" w14:textId="5A38FCDF" w:rsidR="004C6371" w:rsidRDefault="004C6371" w:rsidP="00280C35">
      <w:pPr>
        <w:pStyle w:val="FootnoteText"/>
        <w:ind w:left="720" w:hanging="720"/>
        <w:rPr>
          <w:rFonts w:ascii="Times New Roman" w:hAnsi="Times New Roman" w:cs="Times New Roman"/>
        </w:rPr>
      </w:pPr>
      <w:proofErr w:type="spellStart"/>
      <w:r w:rsidRPr="000E69D9">
        <w:rPr>
          <w:rFonts w:ascii="Times New Roman" w:hAnsi="Times New Roman" w:cs="Times New Roman"/>
        </w:rPr>
        <w:t>Couttenier</w:t>
      </w:r>
      <w:proofErr w:type="spellEnd"/>
      <w:r w:rsidRPr="000E69D9">
        <w:rPr>
          <w:rFonts w:ascii="Times New Roman" w:hAnsi="Times New Roman" w:cs="Times New Roman"/>
        </w:rPr>
        <w:t>,</w:t>
      </w:r>
      <w:r w:rsidRPr="004C6371">
        <w:rPr>
          <w:rFonts w:ascii="Times New Roman" w:hAnsi="Times New Roman" w:cs="Times New Roman"/>
        </w:rPr>
        <w:t xml:space="preserve"> </w:t>
      </w:r>
      <w:r w:rsidRPr="000E69D9">
        <w:rPr>
          <w:rFonts w:ascii="Times New Roman" w:hAnsi="Times New Roman" w:cs="Times New Roman"/>
        </w:rPr>
        <w:t>Piet</w:t>
      </w:r>
      <w:r>
        <w:rPr>
          <w:rFonts w:ascii="Times New Roman" w:hAnsi="Times New Roman" w:cs="Times New Roman"/>
        </w:rPr>
        <w:t>.</w:t>
      </w:r>
      <w:r w:rsidRPr="000E69D9">
        <w:rPr>
          <w:rFonts w:ascii="Times New Roman" w:hAnsi="Times New Roman" w:cs="Times New Roman"/>
        </w:rPr>
        <w:t xml:space="preserve"> “National Imagery in 19</w:t>
      </w:r>
      <w:r w:rsidRPr="000E69D9">
        <w:rPr>
          <w:rFonts w:ascii="Times New Roman" w:hAnsi="Times New Roman" w:cs="Times New Roman"/>
          <w:vertAlign w:val="superscript"/>
        </w:rPr>
        <w:t>th</w:t>
      </w:r>
      <w:r>
        <w:rPr>
          <w:rFonts w:ascii="Times New Roman" w:hAnsi="Times New Roman" w:cs="Times New Roman"/>
        </w:rPr>
        <w:t xml:space="preserve"> century Flemish Literature.” I</w:t>
      </w:r>
      <w:r w:rsidRPr="000E69D9">
        <w:rPr>
          <w:rFonts w:ascii="Times New Roman" w:hAnsi="Times New Roman" w:cs="Times New Roman"/>
        </w:rPr>
        <w:t xml:space="preserve">n </w:t>
      </w:r>
      <w:r w:rsidRPr="000E69D9">
        <w:rPr>
          <w:rFonts w:ascii="Times New Roman" w:hAnsi="Times New Roman" w:cs="Times New Roman"/>
          <w:i/>
        </w:rPr>
        <w:t>Nationalism in Belgium: Shifting Identities, 1780-1995</w:t>
      </w:r>
      <w:r>
        <w:rPr>
          <w:rFonts w:ascii="Times New Roman" w:hAnsi="Times New Roman" w:cs="Times New Roman"/>
        </w:rPr>
        <w:t xml:space="preserve">. Edited by </w:t>
      </w:r>
      <w:proofErr w:type="spellStart"/>
      <w:r>
        <w:rPr>
          <w:rFonts w:ascii="Times New Roman" w:hAnsi="Times New Roman" w:cs="Times New Roman"/>
        </w:rPr>
        <w:t>Kas</w:t>
      </w:r>
      <w:proofErr w:type="spellEnd"/>
      <w:r>
        <w:rPr>
          <w:rFonts w:ascii="Times New Roman" w:hAnsi="Times New Roman" w:cs="Times New Roman"/>
        </w:rPr>
        <w:t xml:space="preserve"> </w:t>
      </w:r>
      <w:proofErr w:type="spellStart"/>
      <w:r>
        <w:rPr>
          <w:rFonts w:ascii="Times New Roman" w:hAnsi="Times New Roman" w:cs="Times New Roman"/>
        </w:rPr>
        <w:t>Deprez</w:t>
      </w:r>
      <w:proofErr w:type="spellEnd"/>
      <w:r>
        <w:rPr>
          <w:rFonts w:ascii="Times New Roman" w:hAnsi="Times New Roman" w:cs="Times New Roman"/>
        </w:rPr>
        <w:t xml:space="preserve"> and Louis </w:t>
      </w:r>
      <w:proofErr w:type="spellStart"/>
      <w:r>
        <w:rPr>
          <w:rFonts w:ascii="Times New Roman" w:hAnsi="Times New Roman" w:cs="Times New Roman"/>
        </w:rPr>
        <w:t>Voz</w:t>
      </w:r>
      <w:proofErr w:type="spellEnd"/>
      <w:r>
        <w:rPr>
          <w:rFonts w:ascii="Times New Roman" w:hAnsi="Times New Roman" w:cs="Times New Roman"/>
        </w:rPr>
        <w:t xml:space="preserve"> </w:t>
      </w:r>
      <w:r w:rsidRPr="000E69D9">
        <w:rPr>
          <w:rFonts w:ascii="Times New Roman" w:hAnsi="Times New Roman" w:cs="Times New Roman"/>
        </w:rPr>
        <w:t xml:space="preserve">New </w:t>
      </w:r>
      <w:r>
        <w:rPr>
          <w:rFonts w:ascii="Times New Roman" w:hAnsi="Times New Roman" w:cs="Times New Roman"/>
        </w:rPr>
        <w:t>York: St. Martin’s Press, 1998, 51-60.</w:t>
      </w:r>
    </w:p>
    <w:p w14:paraId="43F05B30" w14:textId="77777777" w:rsidR="00801940" w:rsidRDefault="00801940" w:rsidP="00280C35">
      <w:pPr>
        <w:pStyle w:val="FootnoteText"/>
        <w:ind w:left="720" w:hanging="720"/>
        <w:rPr>
          <w:rFonts w:ascii="Times New Roman" w:hAnsi="Times New Roman" w:cs="Times New Roman"/>
        </w:rPr>
      </w:pPr>
    </w:p>
    <w:p w14:paraId="7B6A2C83" w14:textId="3741BE12" w:rsidR="00D627D7" w:rsidRDefault="00D627D7" w:rsidP="00280C35">
      <w:pPr>
        <w:pStyle w:val="FootnoteText"/>
        <w:ind w:left="720" w:hanging="720"/>
        <w:rPr>
          <w:rFonts w:ascii="Times New Roman" w:hAnsi="Times New Roman" w:cs="Times New Roman"/>
        </w:rPr>
      </w:pPr>
      <w:r w:rsidRPr="000E69D9">
        <w:rPr>
          <w:rFonts w:ascii="Times New Roman" w:hAnsi="Times New Roman" w:cs="Times New Roman"/>
        </w:rPr>
        <w:t>Cowan,</w:t>
      </w:r>
      <w:r w:rsidRPr="00D627D7">
        <w:rPr>
          <w:rFonts w:ascii="Times New Roman" w:hAnsi="Times New Roman" w:cs="Times New Roman"/>
        </w:rPr>
        <w:t xml:space="preserve"> </w:t>
      </w:r>
      <w:r>
        <w:rPr>
          <w:rFonts w:ascii="Times New Roman" w:hAnsi="Times New Roman" w:cs="Times New Roman"/>
        </w:rPr>
        <w:t>Edward J.</w:t>
      </w:r>
      <w:r w:rsidRPr="000E69D9">
        <w:rPr>
          <w:rFonts w:ascii="Times New Roman" w:hAnsi="Times New Roman" w:cs="Times New Roman"/>
        </w:rPr>
        <w:t xml:space="preserve"> </w:t>
      </w:r>
      <w:r w:rsidRPr="000E69D9">
        <w:rPr>
          <w:rFonts w:ascii="Times New Roman" w:hAnsi="Times New Roman" w:cs="Times New Roman"/>
          <w:i/>
        </w:rPr>
        <w:t xml:space="preserve">“For Freedom Alone”: The Declaration of </w:t>
      </w:r>
      <w:proofErr w:type="spellStart"/>
      <w:r w:rsidRPr="000E69D9">
        <w:rPr>
          <w:rFonts w:ascii="Times New Roman" w:hAnsi="Times New Roman" w:cs="Times New Roman"/>
          <w:i/>
        </w:rPr>
        <w:t>Arbroath</w:t>
      </w:r>
      <w:proofErr w:type="spellEnd"/>
      <w:r w:rsidRPr="000E69D9">
        <w:rPr>
          <w:rFonts w:ascii="Times New Roman" w:hAnsi="Times New Roman" w:cs="Times New Roman"/>
          <w:i/>
        </w:rPr>
        <w:t>, 1320</w:t>
      </w:r>
      <w:r w:rsidR="00725FB0">
        <w:rPr>
          <w:rFonts w:ascii="Times New Roman" w:hAnsi="Times New Roman" w:cs="Times New Roman"/>
        </w:rPr>
        <w:t xml:space="preserve">. </w:t>
      </w:r>
      <w:r w:rsidRPr="000E69D9">
        <w:rPr>
          <w:rFonts w:ascii="Times New Roman" w:hAnsi="Times New Roman" w:cs="Times New Roman"/>
        </w:rPr>
        <w:t>East Lint</w:t>
      </w:r>
      <w:r w:rsidR="00725FB0">
        <w:rPr>
          <w:rFonts w:ascii="Times New Roman" w:hAnsi="Times New Roman" w:cs="Times New Roman"/>
        </w:rPr>
        <w:t xml:space="preserve">on, U.K.: </w:t>
      </w:r>
      <w:proofErr w:type="spellStart"/>
      <w:r w:rsidR="00725FB0">
        <w:rPr>
          <w:rFonts w:ascii="Times New Roman" w:hAnsi="Times New Roman" w:cs="Times New Roman"/>
        </w:rPr>
        <w:t>Tuckwell</w:t>
      </w:r>
      <w:proofErr w:type="spellEnd"/>
      <w:r w:rsidR="00725FB0">
        <w:rPr>
          <w:rFonts w:ascii="Times New Roman" w:hAnsi="Times New Roman" w:cs="Times New Roman"/>
        </w:rPr>
        <w:t xml:space="preserve"> Press, 2003.</w:t>
      </w:r>
    </w:p>
    <w:p w14:paraId="76E72177" w14:textId="77777777" w:rsidR="00801940" w:rsidRDefault="00801940" w:rsidP="00305E7B">
      <w:pPr>
        <w:pStyle w:val="FootnoteText"/>
        <w:rPr>
          <w:rFonts w:ascii="Times New Roman" w:hAnsi="Times New Roman" w:cs="Times New Roman"/>
        </w:rPr>
      </w:pPr>
    </w:p>
    <w:p w14:paraId="68703CD5" w14:textId="280F4F46" w:rsidR="00305E7B" w:rsidRDefault="00801940" w:rsidP="00801940">
      <w:pPr>
        <w:pStyle w:val="FootnoteText"/>
        <w:ind w:left="720" w:hanging="720"/>
        <w:rPr>
          <w:rFonts w:ascii="Times New Roman" w:hAnsi="Times New Roman" w:cs="Times New Roman"/>
        </w:rPr>
      </w:pPr>
      <w:r>
        <w:rPr>
          <w:rFonts w:ascii="Times New Roman" w:hAnsi="Times New Roman" w:cs="Times New Roman"/>
        </w:rPr>
        <w:t>---</w:t>
      </w:r>
      <w:r w:rsidR="00305E7B" w:rsidRPr="000E69D9">
        <w:rPr>
          <w:rFonts w:ascii="Times New Roman" w:hAnsi="Times New Roman" w:cs="Times New Roman"/>
        </w:rPr>
        <w:t>,</w:t>
      </w:r>
      <w:r w:rsidR="00305E7B" w:rsidRPr="00305E7B">
        <w:rPr>
          <w:rFonts w:ascii="Times New Roman" w:hAnsi="Times New Roman" w:cs="Times New Roman"/>
        </w:rPr>
        <w:t xml:space="preserve"> </w:t>
      </w:r>
      <w:r w:rsidR="00305E7B">
        <w:rPr>
          <w:rFonts w:ascii="Times New Roman" w:hAnsi="Times New Roman" w:cs="Times New Roman"/>
        </w:rPr>
        <w:t>Edward J.</w:t>
      </w:r>
      <w:r w:rsidR="00305E7B" w:rsidRPr="000E69D9">
        <w:rPr>
          <w:rFonts w:ascii="Times New Roman" w:hAnsi="Times New Roman" w:cs="Times New Roman"/>
        </w:rPr>
        <w:t xml:space="preserve"> “The Making of Union</w:t>
      </w:r>
      <w:r w:rsidR="00305E7B">
        <w:rPr>
          <w:rFonts w:ascii="Times New Roman" w:hAnsi="Times New Roman" w:cs="Times New Roman"/>
        </w:rPr>
        <w:t>.” I</w:t>
      </w:r>
      <w:r w:rsidR="00305E7B" w:rsidRPr="000E69D9">
        <w:rPr>
          <w:rFonts w:ascii="Times New Roman" w:hAnsi="Times New Roman" w:cs="Times New Roman"/>
        </w:rPr>
        <w:t xml:space="preserve">n </w:t>
      </w:r>
      <w:proofErr w:type="gramStart"/>
      <w:r w:rsidR="00305E7B" w:rsidRPr="000E69D9">
        <w:rPr>
          <w:rFonts w:ascii="Times New Roman" w:hAnsi="Times New Roman" w:cs="Times New Roman"/>
          <w:i/>
        </w:rPr>
        <w:t>In</w:t>
      </w:r>
      <w:proofErr w:type="gramEnd"/>
      <w:r w:rsidR="00305E7B" w:rsidRPr="000E69D9">
        <w:rPr>
          <w:rFonts w:ascii="Times New Roman" w:hAnsi="Times New Roman" w:cs="Times New Roman"/>
          <w:i/>
        </w:rPr>
        <w:t xml:space="preserve"> Search of Scotland</w:t>
      </w:r>
      <w:r w:rsidR="00305E7B">
        <w:rPr>
          <w:rFonts w:ascii="Times New Roman" w:hAnsi="Times New Roman" w:cs="Times New Roman"/>
        </w:rPr>
        <w:t>. Edited by</w:t>
      </w:r>
      <w:r w:rsidR="00305E7B" w:rsidRPr="000E69D9">
        <w:rPr>
          <w:rFonts w:ascii="Times New Roman" w:hAnsi="Times New Roman" w:cs="Times New Roman"/>
        </w:rPr>
        <w:t xml:space="preserve"> Gordon Menz</w:t>
      </w:r>
      <w:r w:rsidR="00305E7B">
        <w:rPr>
          <w:rFonts w:ascii="Times New Roman" w:hAnsi="Times New Roman" w:cs="Times New Roman"/>
        </w:rPr>
        <w:t xml:space="preserve">ies </w:t>
      </w:r>
      <w:r w:rsidR="00305E7B" w:rsidRPr="000E69D9">
        <w:rPr>
          <w:rFonts w:ascii="Times New Roman" w:hAnsi="Times New Roman" w:cs="Times New Roman"/>
        </w:rPr>
        <w:t xml:space="preserve">Edinburgh: </w:t>
      </w:r>
      <w:r w:rsidR="00305E7B">
        <w:rPr>
          <w:rFonts w:ascii="Times New Roman" w:hAnsi="Times New Roman" w:cs="Times New Roman"/>
        </w:rPr>
        <w:t>Polygon Press, 2001, 136-159</w:t>
      </w:r>
      <w:r w:rsidR="00305E7B" w:rsidRPr="000E69D9">
        <w:rPr>
          <w:rFonts w:ascii="Times New Roman" w:hAnsi="Times New Roman" w:cs="Times New Roman"/>
        </w:rPr>
        <w:t>.</w:t>
      </w:r>
    </w:p>
    <w:p w14:paraId="6E610A31" w14:textId="77777777" w:rsidR="00801940" w:rsidRDefault="00801940" w:rsidP="00280C35">
      <w:pPr>
        <w:pStyle w:val="FootnoteText"/>
        <w:ind w:left="720" w:hanging="720"/>
        <w:rPr>
          <w:rFonts w:ascii="Times New Roman" w:hAnsi="Times New Roman" w:cs="Times New Roman"/>
        </w:rPr>
      </w:pPr>
    </w:p>
    <w:p w14:paraId="04EFA1C3" w14:textId="1F97AFD0" w:rsidR="00F23E30" w:rsidRDefault="00F23E30" w:rsidP="00280C35">
      <w:pPr>
        <w:pStyle w:val="FootnoteText"/>
        <w:ind w:left="720" w:hanging="720"/>
        <w:rPr>
          <w:rFonts w:ascii="Times New Roman" w:hAnsi="Times New Roman" w:cs="Times New Roman"/>
        </w:rPr>
      </w:pPr>
      <w:r w:rsidRPr="00AB383B">
        <w:rPr>
          <w:rFonts w:ascii="Times New Roman" w:hAnsi="Times New Roman" w:cs="Times New Roman"/>
        </w:rPr>
        <w:t>David,</w:t>
      </w:r>
      <w:r w:rsidRPr="00F23E30">
        <w:rPr>
          <w:rFonts w:ascii="Times New Roman" w:hAnsi="Times New Roman" w:cs="Times New Roman"/>
        </w:rPr>
        <w:t xml:space="preserve"> </w:t>
      </w:r>
      <w:r w:rsidRPr="00AB383B">
        <w:rPr>
          <w:rFonts w:ascii="Times New Roman" w:hAnsi="Times New Roman" w:cs="Times New Roman"/>
        </w:rPr>
        <w:t>Jan Baptist</w:t>
      </w:r>
      <w:r>
        <w:rPr>
          <w:rFonts w:ascii="Times New Roman" w:hAnsi="Times New Roman" w:cs="Times New Roman"/>
        </w:rPr>
        <w:t>.</w:t>
      </w:r>
      <w:r w:rsidRPr="00AB383B">
        <w:rPr>
          <w:rFonts w:ascii="Times New Roman" w:hAnsi="Times New Roman" w:cs="Times New Roman"/>
        </w:rPr>
        <w:t xml:space="preserve"> “Address to the Society ‘Time and Devotion’</w:t>
      </w:r>
      <w:r>
        <w:rPr>
          <w:rFonts w:ascii="Times New Roman" w:hAnsi="Times New Roman" w:cs="Times New Roman"/>
        </w:rPr>
        <w:t>.” I</w:t>
      </w:r>
      <w:r w:rsidRPr="00AB383B">
        <w:rPr>
          <w:rFonts w:ascii="Times New Roman" w:hAnsi="Times New Roman" w:cs="Times New Roman"/>
        </w:rPr>
        <w:t xml:space="preserve">n </w:t>
      </w:r>
      <w:proofErr w:type="gramStart"/>
      <w:r w:rsidRPr="00AB383B">
        <w:rPr>
          <w:rFonts w:ascii="Times New Roman" w:hAnsi="Times New Roman" w:cs="Times New Roman"/>
          <w:i/>
        </w:rPr>
        <w:t>The</w:t>
      </w:r>
      <w:proofErr w:type="gramEnd"/>
      <w:r w:rsidRPr="00AB383B">
        <w:rPr>
          <w:rFonts w:ascii="Times New Roman" w:hAnsi="Times New Roman" w:cs="Times New Roman"/>
          <w:i/>
        </w:rPr>
        <w:t xml:space="preserve"> Flemish Movement: A Documentary History</w:t>
      </w:r>
      <w:r>
        <w:rPr>
          <w:rFonts w:ascii="Times New Roman" w:hAnsi="Times New Roman" w:cs="Times New Roman"/>
        </w:rPr>
        <w:t xml:space="preserve">. Edited by Theo </w:t>
      </w:r>
      <w:proofErr w:type="spellStart"/>
      <w:r>
        <w:rPr>
          <w:rFonts w:ascii="Times New Roman" w:hAnsi="Times New Roman" w:cs="Times New Roman"/>
        </w:rPr>
        <w:t>Hermans</w:t>
      </w:r>
      <w:proofErr w:type="spellEnd"/>
      <w:r>
        <w:rPr>
          <w:rFonts w:ascii="Times New Roman" w:hAnsi="Times New Roman" w:cs="Times New Roman"/>
        </w:rPr>
        <w:t xml:space="preserve">, Co-edited by Louis </w:t>
      </w:r>
      <w:proofErr w:type="spellStart"/>
      <w:r>
        <w:rPr>
          <w:rFonts w:ascii="Times New Roman" w:hAnsi="Times New Roman" w:cs="Times New Roman"/>
        </w:rPr>
        <w:t>Vos</w:t>
      </w:r>
      <w:proofErr w:type="spellEnd"/>
      <w:r>
        <w:rPr>
          <w:rFonts w:ascii="Times New Roman" w:hAnsi="Times New Roman" w:cs="Times New Roman"/>
        </w:rPr>
        <w:t xml:space="preserve"> and Lode </w:t>
      </w:r>
      <w:proofErr w:type="spellStart"/>
      <w:r>
        <w:rPr>
          <w:rFonts w:ascii="Times New Roman" w:hAnsi="Times New Roman" w:cs="Times New Roman"/>
        </w:rPr>
        <w:t>Wils</w:t>
      </w:r>
      <w:proofErr w:type="spellEnd"/>
      <w:r>
        <w:rPr>
          <w:rFonts w:ascii="Times New Roman" w:hAnsi="Times New Roman" w:cs="Times New Roman"/>
        </w:rPr>
        <w:t xml:space="preserve"> London: The </w:t>
      </w:r>
      <w:proofErr w:type="spellStart"/>
      <w:r>
        <w:rPr>
          <w:rFonts w:ascii="Times New Roman" w:hAnsi="Times New Roman" w:cs="Times New Roman"/>
        </w:rPr>
        <w:t>Athlone</w:t>
      </w:r>
      <w:proofErr w:type="spellEnd"/>
      <w:r>
        <w:rPr>
          <w:rFonts w:ascii="Times New Roman" w:hAnsi="Times New Roman" w:cs="Times New Roman"/>
        </w:rPr>
        <w:t xml:space="preserve"> Press, 1992</w:t>
      </w:r>
      <w:r w:rsidRPr="00AB383B">
        <w:rPr>
          <w:rFonts w:ascii="Times New Roman" w:hAnsi="Times New Roman" w:cs="Times New Roman"/>
        </w:rPr>
        <w:t>,</w:t>
      </w:r>
      <w:r>
        <w:rPr>
          <w:rFonts w:ascii="Times New Roman" w:hAnsi="Times New Roman" w:cs="Times New Roman"/>
        </w:rPr>
        <w:t xml:space="preserve"> 96-97.</w:t>
      </w:r>
    </w:p>
    <w:p w14:paraId="1BD0EADF" w14:textId="77777777" w:rsidR="00801940" w:rsidRDefault="00801940" w:rsidP="00280C35">
      <w:pPr>
        <w:pStyle w:val="FootnoteText"/>
        <w:ind w:left="720" w:hanging="720"/>
        <w:rPr>
          <w:rFonts w:ascii="Times New Roman" w:hAnsi="Times New Roman" w:cs="Times New Roman"/>
        </w:rPr>
      </w:pPr>
    </w:p>
    <w:p w14:paraId="57D7D98D" w14:textId="1F75EE53" w:rsidR="00CF4860" w:rsidRDefault="00CF4860" w:rsidP="00280C35">
      <w:pPr>
        <w:pStyle w:val="FootnoteText"/>
        <w:ind w:left="720" w:hanging="720"/>
        <w:rPr>
          <w:rFonts w:ascii="Times New Roman" w:hAnsi="Times New Roman" w:cs="Times New Roman"/>
        </w:rPr>
      </w:pPr>
      <w:r w:rsidRPr="000E69D9">
        <w:rPr>
          <w:rFonts w:ascii="Times New Roman" w:hAnsi="Times New Roman" w:cs="Times New Roman"/>
        </w:rPr>
        <w:t>Davidson,</w:t>
      </w:r>
      <w:r w:rsidRPr="00CF4860">
        <w:rPr>
          <w:rFonts w:ascii="Times New Roman" w:hAnsi="Times New Roman" w:cs="Times New Roman"/>
        </w:rPr>
        <w:t xml:space="preserve"> </w:t>
      </w:r>
      <w:r w:rsidRPr="000E69D9">
        <w:rPr>
          <w:rFonts w:ascii="Times New Roman" w:hAnsi="Times New Roman" w:cs="Times New Roman"/>
        </w:rPr>
        <w:t>Neil</w:t>
      </w:r>
      <w:r>
        <w:rPr>
          <w:rFonts w:ascii="Times New Roman" w:hAnsi="Times New Roman" w:cs="Times New Roman"/>
        </w:rPr>
        <w:t>.</w:t>
      </w:r>
      <w:r w:rsidRPr="000E69D9">
        <w:rPr>
          <w:rFonts w:ascii="Times New Roman" w:hAnsi="Times New Roman" w:cs="Times New Roman"/>
        </w:rPr>
        <w:t xml:space="preserve"> </w:t>
      </w:r>
      <w:r w:rsidRPr="000E69D9">
        <w:rPr>
          <w:rFonts w:ascii="Times New Roman" w:hAnsi="Times New Roman" w:cs="Times New Roman"/>
          <w:i/>
        </w:rPr>
        <w:t>The Origins of Scottish Nationhood</w:t>
      </w:r>
      <w:r>
        <w:rPr>
          <w:rFonts w:ascii="Times New Roman" w:hAnsi="Times New Roman" w:cs="Times New Roman"/>
        </w:rPr>
        <w:t>. London: Pluto Press, 2000.</w:t>
      </w:r>
    </w:p>
    <w:p w14:paraId="38CF243C" w14:textId="77777777" w:rsidR="00801940" w:rsidRDefault="00801940" w:rsidP="00280C35">
      <w:pPr>
        <w:pStyle w:val="FootnoteText"/>
        <w:ind w:left="720" w:hanging="720"/>
        <w:rPr>
          <w:rFonts w:ascii="Times New Roman" w:hAnsi="Times New Roman" w:cs="Times New Roman"/>
        </w:rPr>
      </w:pPr>
    </w:p>
    <w:p w14:paraId="237D5C2F" w14:textId="71D06A2D" w:rsidR="00863AC4" w:rsidRDefault="00863AC4" w:rsidP="00280C35">
      <w:pPr>
        <w:pStyle w:val="FootnoteText"/>
        <w:ind w:left="720" w:hanging="720"/>
        <w:rPr>
          <w:rFonts w:ascii="Times New Roman" w:hAnsi="Times New Roman" w:cs="Times New Roman"/>
        </w:rPr>
      </w:pPr>
      <w:r w:rsidRPr="00AB383B">
        <w:rPr>
          <w:rFonts w:ascii="Times New Roman" w:hAnsi="Times New Roman" w:cs="Times New Roman"/>
        </w:rPr>
        <w:t xml:space="preserve">de </w:t>
      </w:r>
      <w:proofErr w:type="spellStart"/>
      <w:r w:rsidRPr="00AB383B">
        <w:rPr>
          <w:rFonts w:ascii="Times New Roman" w:hAnsi="Times New Roman" w:cs="Times New Roman"/>
        </w:rPr>
        <w:t>Foere</w:t>
      </w:r>
      <w:proofErr w:type="spellEnd"/>
      <w:r w:rsidRPr="00AB383B">
        <w:rPr>
          <w:rFonts w:ascii="Times New Roman" w:hAnsi="Times New Roman" w:cs="Times New Roman"/>
        </w:rPr>
        <w:t>,</w:t>
      </w:r>
      <w:r w:rsidRPr="00863AC4">
        <w:rPr>
          <w:rFonts w:ascii="Times New Roman" w:hAnsi="Times New Roman" w:cs="Times New Roman"/>
        </w:rPr>
        <w:t xml:space="preserve"> </w:t>
      </w:r>
      <w:r w:rsidRPr="00AB383B">
        <w:rPr>
          <w:rFonts w:ascii="Times New Roman" w:hAnsi="Times New Roman" w:cs="Times New Roman"/>
        </w:rPr>
        <w:t>Leo</w:t>
      </w:r>
      <w:r>
        <w:rPr>
          <w:rFonts w:ascii="Times New Roman" w:hAnsi="Times New Roman" w:cs="Times New Roman"/>
        </w:rPr>
        <w:t>.</w:t>
      </w:r>
      <w:r w:rsidRPr="00AB383B">
        <w:rPr>
          <w:rFonts w:ascii="Times New Roman" w:hAnsi="Times New Roman" w:cs="Times New Roman"/>
        </w:rPr>
        <w:t xml:space="preserve"> “Brief Remarks on the Question: Can the Use of the French Language be considered Advantageous in the Netherlands, both in Legislative Matters and with rega</w:t>
      </w:r>
      <w:r>
        <w:rPr>
          <w:rFonts w:ascii="Times New Roman" w:hAnsi="Times New Roman" w:cs="Times New Roman"/>
        </w:rPr>
        <w:t>rds to Morality and Religion?” I</w:t>
      </w:r>
      <w:r w:rsidRPr="00AB383B">
        <w:rPr>
          <w:rFonts w:ascii="Times New Roman" w:hAnsi="Times New Roman" w:cs="Times New Roman"/>
        </w:rPr>
        <w:t xml:space="preserve">n </w:t>
      </w:r>
      <w:proofErr w:type="gramStart"/>
      <w:r w:rsidRPr="00AB383B">
        <w:rPr>
          <w:rFonts w:ascii="Times New Roman" w:hAnsi="Times New Roman" w:cs="Times New Roman"/>
          <w:i/>
        </w:rPr>
        <w:t>The</w:t>
      </w:r>
      <w:proofErr w:type="gramEnd"/>
      <w:r w:rsidRPr="00AB383B">
        <w:rPr>
          <w:rFonts w:ascii="Times New Roman" w:hAnsi="Times New Roman" w:cs="Times New Roman"/>
          <w:i/>
        </w:rPr>
        <w:t xml:space="preserve"> Flemish Movement: A Documentary History</w:t>
      </w:r>
      <w:r>
        <w:rPr>
          <w:rFonts w:ascii="Times New Roman" w:hAnsi="Times New Roman" w:cs="Times New Roman"/>
        </w:rPr>
        <w:t xml:space="preserve"> Edited by Theo </w:t>
      </w:r>
      <w:proofErr w:type="spellStart"/>
      <w:r>
        <w:rPr>
          <w:rFonts w:ascii="Times New Roman" w:hAnsi="Times New Roman" w:cs="Times New Roman"/>
        </w:rPr>
        <w:t>Hermans</w:t>
      </w:r>
      <w:proofErr w:type="spellEnd"/>
      <w:r>
        <w:rPr>
          <w:rFonts w:ascii="Times New Roman" w:hAnsi="Times New Roman" w:cs="Times New Roman"/>
        </w:rPr>
        <w:t xml:space="preserve">, Co-edited by Louis </w:t>
      </w:r>
      <w:proofErr w:type="spellStart"/>
      <w:r>
        <w:rPr>
          <w:rFonts w:ascii="Times New Roman" w:hAnsi="Times New Roman" w:cs="Times New Roman"/>
        </w:rPr>
        <w:t>Vos</w:t>
      </w:r>
      <w:proofErr w:type="spellEnd"/>
      <w:r>
        <w:rPr>
          <w:rFonts w:ascii="Times New Roman" w:hAnsi="Times New Roman" w:cs="Times New Roman"/>
        </w:rPr>
        <w:t xml:space="preserve"> and Lode </w:t>
      </w:r>
      <w:proofErr w:type="spellStart"/>
      <w:r>
        <w:rPr>
          <w:rFonts w:ascii="Times New Roman" w:hAnsi="Times New Roman" w:cs="Times New Roman"/>
        </w:rPr>
        <w:t>Wils</w:t>
      </w:r>
      <w:proofErr w:type="spellEnd"/>
      <w:r>
        <w:rPr>
          <w:rFonts w:ascii="Times New Roman" w:hAnsi="Times New Roman" w:cs="Times New Roman"/>
        </w:rPr>
        <w:t xml:space="preserve"> </w:t>
      </w:r>
      <w:r w:rsidRPr="00AB383B">
        <w:rPr>
          <w:rFonts w:ascii="Times New Roman" w:hAnsi="Times New Roman" w:cs="Times New Roman"/>
        </w:rPr>
        <w:t xml:space="preserve">London: </w:t>
      </w:r>
      <w:r>
        <w:rPr>
          <w:rFonts w:ascii="Times New Roman" w:hAnsi="Times New Roman" w:cs="Times New Roman"/>
        </w:rPr>
        <w:t xml:space="preserve">The </w:t>
      </w:r>
      <w:proofErr w:type="spellStart"/>
      <w:r>
        <w:rPr>
          <w:rFonts w:ascii="Times New Roman" w:hAnsi="Times New Roman" w:cs="Times New Roman"/>
        </w:rPr>
        <w:t>Athlone</w:t>
      </w:r>
      <w:proofErr w:type="spellEnd"/>
      <w:r>
        <w:rPr>
          <w:rFonts w:ascii="Times New Roman" w:hAnsi="Times New Roman" w:cs="Times New Roman"/>
        </w:rPr>
        <w:t xml:space="preserve"> Press, 1992, 55-58.</w:t>
      </w:r>
    </w:p>
    <w:p w14:paraId="7DADE69D" w14:textId="77777777" w:rsidR="00801940" w:rsidRDefault="00801940" w:rsidP="00280C35">
      <w:pPr>
        <w:pStyle w:val="FootnoteText"/>
        <w:ind w:left="720" w:hanging="720"/>
        <w:rPr>
          <w:rFonts w:ascii="Times New Roman" w:hAnsi="Times New Roman" w:cs="Times New Roman"/>
        </w:rPr>
      </w:pPr>
    </w:p>
    <w:p w14:paraId="011C613A" w14:textId="6AD3EEF9" w:rsidR="005B1B4D" w:rsidRDefault="005B1B4D" w:rsidP="00280C35">
      <w:pPr>
        <w:pStyle w:val="FootnoteText"/>
        <w:ind w:left="720" w:hanging="720"/>
        <w:rPr>
          <w:rFonts w:ascii="Times New Roman" w:hAnsi="Times New Roman" w:cs="Times New Roman"/>
        </w:rPr>
      </w:pPr>
      <w:r w:rsidRPr="009F35FF">
        <w:rPr>
          <w:rFonts w:ascii="Times New Roman" w:hAnsi="Times New Roman" w:cs="Times New Roman"/>
        </w:rPr>
        <w:t>de Witte,</w:t>
      </w:r>
      <w:r w:rsidRPr="005B1B4D">
        <w:rPr>
          <w:rFonts w:ascii="Times New Roman" w:hAnsi="Times New Roman" w:cs="Times New Roman"/>
        </w:rPr>
        <w:t xml:space="preserve"> </w:t>
      </w:r>
      <w:r w:rsidRPr="009F35FF">
        <w:rPr>
          <w:rFonts w:ascii="Times New Roman" w:hAnsi="Times New Roman" w:cs="Times New Roman"/>
        </w:rPr>
        <w:t>Hans</w:t>
      </w:r>
      <w:r>
        <w:rPr>
          <w:rFonts w:ascii="Times New Roman" w:hAnsi="Times New Roman" w:cs="Times New Roman"/>
        </w:rPr>
        <w:t>.</w:t>
      </w:r>
      <w:r w:rsidRPr="009F35FF">
        <w:rPr>
          <w:rFonts w:ascii="Times New Roman" w:hAnsi="Times New Roman" w:cs="Times New Roman"/>
        </w:rPr>
        <w:t xml:space="preserve"> “Extreme right-wing activism in the Flemish part of Belgium: Manifestat</w:t>
      </w:r>
      <w:r>
        <w:rPr>
          <w:rFonts w:ascii="Times New Roman" w:hAnsi="Times New Roman" w:cs="Times New Roman"/>
        </w:rPr>
        <w:t>ion of racism or nationalism?” I</w:t>
      </w:r>
      <w:r w:rsidRPr="009F35FF">
        <w:rPr>
          <w:rFonts w:ascii="Times New Roman" w:hAnsi="Times New Roman" w:cs="Times New Roman"/>
        </w:rPr>
        <w:t xml:space="preserve">n </w:t>
      </w:r>
      <w:r w:rsidRPr="009F35FF">
        <w:rPr>
          <w:rFonts w:ascii="Times New Roman" w:hAnsi="Times New Roman" w:cs="Times New Roman"/>
          <w:i/>
        </w:rPr>
        <w:t>Extreme Right Activists in Europe: Through the Magnifying Glass</w:t>
      </w:r>
      <w:r>
        <w:rPr>
          <w:rFonts w:ascii="Times New Roman" w:hAnsi="Times New Roman" w:cs="Times New Roman"/>
        </w:rPr>
        <w:t>. Edited by</w:t>
      </w:r>
      <w:r w:rsidRPr="009F35FF">
        <w:rPr>
          <w:rFonts w:ascii="Times New Roman" w:hAnsi="Times New Roman" w:cs="Times New Roman"/>
        </w:rPr>
        <w:t xml:space="preserve"> Ber</w:t>
      </w:r>
      <w:r>
        <w:rPr>
          <w:rFonts w:ascii="Times New Roman" w:hAnsi="Times New Roman" w:cs="Times New Roman"/>
        </w:rPr>
        <w:t xml:space="preserve">t </w:t>
      </w:r>
      <w:proofErr w:type="spellStart"/>
      <w:r>
        <w:rPr>
          <w:rFonts w:ascii="Times New Roman" w:hAnsi="Times New Roman" w:cs="Times New Roman"/>
        </w:rPr>
        <w:t>Klandersmans</w:t>
      </w:r>
      <w:proofErr w:type="spellEnd"/>
      <w:r>
        <w:rPr>
          <w:rFonts w:ascii="Times New Roman" w:hAnsi="Times New Roman" w:cs="Times New Roman"/>
        </w:rPr>
        <w:t xml:space="preserve"> and Monna Mayer London: Routledge, 2006</w:t>
      </w:r>
      <w:r w:rsidRPr="009F35FF">
        <w:rPr>
          <w:rFonts w:ascii="Times New Roman" w:hAnsi="Times New Roman" w:cs="Times New Roman"/>
        </w:rPr>
        <w:t>,</w:t>
      </w:r>
      <w:r>
        <w:rPr>
          <w:rFonts w:ascii="Times New Roman" w:hAnsi="Times New Roman" w:cs="Times New Roman"/>
        </w:rPr>
        <w:t xml:space="preserve"> 166-189</w:t>
      </w:r>
      <w:r w:rsidRPr="009F35FF">
        <w:rPr>
          <w:rFonts w:ascii="Times New Roman" w:hAnsi="Times New Roman" w:cs="Times New Roman"/>
        </w:rPr>
        <w:t>.</w:t>
      </w:r>
    </w:p>
    <w:p w14:paraId="1375068E" w14:textId="77777777" w:rsidR="00801940" w:rsidRDefault="00801940" w:rsidP="00280C35">
      <w:pPr>
        <w:pStyle w:val="FootnoteText"/>
        <w:ind w:left="720" w:hanging="720"/>
        <w:rPr>
          <w:rFonts w:ascii="Times New Roman" w:hAnsi="Times New Roman" w:cs="Times New Roman"/>
        </w:rPr>
      </w:pPr>
    </w:p>
    <w:p w14:paraId="2287A7AF" w14:textId="0E4D36E3" w:rsidR="00D640E0" w:rsidRDefault="00D640E0" w:rsidP="00280C35">
      <w:pPr>
        <w:pStyle w:val="FootnoteText"/>
        <w:ind w:left="720" w:hanging="720"/>
        <w:rPr>
          <w:rFonts w:ascii="Times New Roman" w:hAnsi="Times New Roman" w:cs="Times New Roman"/>
        </w:rPr>
      </w:pPr>
      <w:r w:rsidRPr="009F35FF">
        <w:rPr>
          <w:rFonts w:ascii="Times New Roman" w:hAnsi="Times New Roman" w:cs="Times New Roman"/>
        </w:rPr>
        <w:t>de Witte</w:t>
      </w:r>
      <w:r>
        <w:rPr>
          <w:rFonts w:ascii="Times New Roman" w:hAnsi="Times New Roman" w:cs="Times New Roman"/>
        </w:rPr>
        <w:t xml:space="preserve">, </w:t>
      </w:r>
      <w:r w:rsidRPr="009F35FF">
        <w:rPr>
          <w:rFonts w:ascii="Times New Roman" w:hAnsi="Times New Roman" w:cs="Times New Roman"/>
        </w:rPr>
        <w:t>Hans</w:t>
      </w:r>
      <w:r>
        <w:rPr>
          <w:rFonts w:ascii="Times New Roman" w:hAnsi="Times New Roman" w:cs="Times New Roman"/>
        </w:rPr>
        <w:t xml:space="preserve"> and Bert </w:t>
      </w:r>
      <w:proofErr w:type="spellStart"/>
      <w:r>
        <w:rPr>
          <w:rFonts w:ascii="Times New Roman" w:hAnsi="Times New Roman" w:cs="Times New Roman"/>
        </w:rPr>
        <w:t>Kandersmans</w:t>
      </w:r>
      <w:proofErr w:type="spellEnd"/>
      <w:r>
        <w:rPr>
          <w:rFonts w:ascii="Times New Roman" w:hAnsi="Times New Roman" w:cs="Times New Roman"/>
        </w:rPr>
        <w:t>.</w:t>
      </w:r>
      <w:r w:rsidRPr="009F35FF">
        <w:rPr>
          <w:rFonts w:ascii="Times New Roman" w:hAnsi="Times New Roman" w:cs="Times New Roman"/>
        </w:rPr>
        <w:t xml:space="preserve"> “Political Racism in Flanders and the Netherlands: explaining differences in the electoral succes</w:t>
      </w:r>
      <w:r>
        <w:rPr>
          <w:rFonts w:ascii="Times New Roman" w:hAnsi="Times New Roman" w:cs="Times New Roman"/>
        </w:rPr>
        <w:t>s of extreme right-wing parties.</w:t>
      </w:r>
      <w:r w:rsidRPr="009F35FF">
        <w:rPr>
          <w:rFonts w:ascii="Times New Roman" w:hAnsi="Times New Roman" w:cs="Times New Roman"/>
        </w:rPr>
        <w:t xml:space="preserve">” </w:t>
      </w:r>
      <w:r w:rsidRPr="009F35FF">
        <w:rPr>
          <w:rFonts w:ascii="Times New Roman" w:hAnsi="Times New Roman" w:cs="Times New Roman"/>
          <w:i/>
        </w:rPr>
        <w:t>Journal of Ethnic and Migration Studies</w:t>
      </w:r>
      <w:r w:rsidRPr="009F35FF">
        <w:rPr>
          <w:rFonts w:ascii="Times New Roman" w:hAnsi="Times New Roman" w:cs="Times New Roman"/>
        </w:rPr>
        <w:t xml:space="preserve"> 26 no. 4 (2000):</w:t>
      </w:r>
      <w:r w:rsidR="00607366">
        <w:rPr>
          <w:rFonts w:ascii="Times New Roman" w:hAnsi="Times New Roman" w:cs="Times New Roman"/>
        </w:rPr>
        <w:t xml:space="preserve"> 699-717</w:t>
      </w:r>
      <w:r w:rsidRPr="009F35FF">
        <w:rPr>
          <w:rFonts w:ascii="Times New Roman" w:hAnsi="Times New Roman" w:cs="Times New Roman"/>
        </w:rPr>
        <w:t>.</w:t>
      </w:r>
    </w:p>
    <w:p w14:paraId="0B893042" w14:textId="77777777" w:rsidR="00801940" w:rsidRDefault="00801940" w:rsidP="00280C35">
      <w:pPr>
        <w:pStyle w:val="FootnoteText"/>
        <w:ind w:left="720" w:hanging="720"/>
        <w:rPr>
          <w:rFonts w:ascii="Times New Roman" w:hAnsi="Times New Roman" w:cs="Times New Roman"/>
        </w:rPr>
      </w:pPr>
    </w:p>
    <w:p w14:paraId="7394825F" w14:textId="3D8B7DD5" w:rsidR="009A4F49" w:rsidRDefault="009A4F49" w:rsidP="00280C35">
      <w:pPr>
        <w:pStyle w:val="FootnoteText"/>
        <w:ind w:left="720" w:hanging="720"/>
        <w:rPr>
          <w:rFonts w:ascii="Times New Roman" w:hAnsi="Times New Roman" w:cs="Times New Roman"/>
        </w:rPr>
      </w:pPr>
      <w:proofErr w:type="spellStart"/>
      <w:r w:rsidRPr="00AC639C">
        <w:rPr>
          <w:rFonts w:ascii="Times New Roman" w:hAnsi="Times New Roman" w:cs="Times New Roman"/>
        </w:rPr>
        <w:t>Destrée</w:t>
      </w:r>
      <w:proofErr w:type="spellEnd"/>
      <w:r w:rsidRPr="00AC639C">
        <w:rPr>
          <w:rFonts w:ascii="Times New Roman" w:hAnsi="Times New Roman" w:cs="Times New Roman"/>
        </w:rPr>
        <w:t>,</w:t>
      </w:r>
      <w:r w:rsidRPr="009A4F49">
        <w:rPr>
          <w:rFonts w:ascii="Times New Roman" w:hAnsi="Times New Roman" w:cs="Times New Roman"/>
        </w:rPr>
        <w:t xml:space="preserve"> </w:t>
      </w:r>
      <w:r w:rsidRPr="00AC639C">
        <w:rPr>
          <w:rFonts w:ascii="Times New Roman" w:hAnsi="Times New Roman" w:cs="Times New Roman"/>
        </w:rPr>
        <w:t>Jules</w:t>
      </w:r>
      <w:r>
        <w:rPr>
          <w:rFonts w:ascii="Times New Roman" w:hAnsi="Times New Roman" w:cs="Times New Roman"/>
        </w:rPr>
        <w:t>.</w:t>
      </w:r>
      <w:r w:rsidRPr="00AC639C">
        <w:rPr>
          <w:rFonts w:ascii="Times New Roman" w:hAnsi="Times New Roman" w:cs="Times New Roman"/>
        </w:rPr>
        <w:t xml:space="preserve"> “Open Letter to the King, Concerning the Sepa</w:t>
      </w:r>
      <w:r>
        <w:rPr>
          <w:rFonts w:ascii="Times New Roman" w:hAnsi="Times New Roman" w:cs="Times New Roman"/>
        </w:rPr>
        <w:t>ration of Flanders and Wallonia.” I</w:t>
      </w:r>
      <w:r w:rsidRPr="00AC639C">
        <w:rPr>
          <w:rFonts w:ascii="Times New Roman" w:hAnsi="Times New Roman" w:cs="Times New Roman"/>
        </w:rPr>
        <w:t xml:space="preserve">n </w:t>
      </w:r>
      <w:proofErr w:type="gramStart"/>
      <w:r w:rsidRPr="00AC639C">
        <w:rPr>
          <w:rFonts w:ascii="Times New Roman" w:hAnsi="Times New Roman" w:cs="Times New Roman"/>
          <w:i/>
        </w:rPr>
        <w:t>The</w:t>
      </w:r>
      <w:proofErr w:type="gramEnd"/>
      <w:r w:rsidRPr="00AC639C">
        <w:rPr>
          <w:rFonts w:ascii="Times New Roman" w:hAnsi="Times New Roman" w:cs="Times New Roman"/>
          <w:i/>
        </w:rPr>
        <w:t xml:space="preserve"> Flemish Movement: A Documentary History 1780-1990</w:t>
      </w:r>
      <w:r>
        <w:rPr>
          <w:rFonts w:ascii="Times New Roman" w:hAnsi="Times New Roman" w:cs="Times New Roman"/>
        </w:rPr>
        <w:t xml:space="preserve">. Edited by Theo </w:t>
      </w:r>
      <w:proofErr w:type="spellStart"/>
      <w:r>
        <w:rPr>
          <w:rFonts w:ascii="Times New Roman" w:hAnsi="Times New Roman" w:cs="Times New Roman"/>
        </w:rPr>
        <w:t>Hermans</w:t>
      </w:r>
      <w:proofErr w:type="spellEnd"/>
      <w:r>
        <w:rPr>
          <w:rFonts w:ascii="Times New Roman" w:hAnsi="Times New Roman" w:cs="Times New Roman"/>
        </w:rPr>
        <w:t xml:space="preserve"> Co-edited by</w:t>
      </w:r>
      <w:r w:rsidRPr="00AC639C">
        <w:rPr>
          <w:rFonts w:ascii="Times New Roman" w:hAnsi="Times New Roman" w:cs="Times New Roman"/>
        </w:rPr>
        <w:t xml:space="preserve"> Louis </w:t>
      </w:r>
      <w:proofErr w:type="spellStart"/>
      <w:r w:rsidRPr="00AC639C">
        <w:rPr>
          <w:rFonts w:ascii="Times New Roman" w:hAnsi="Times New Roman" w:cs="Times New Roman"/>
        </w:rPr>
        <w:t>Vos</w:t>
      </w:r>
      <w:proofErr w:type="spellEnd"/>
      <w:r w:rsidRPr="00AC639C">
        <w:rPr>
          <w:rFonts w:ascii="Times New Roman" w:hAnsi="Times New Roman" w:cs="Times New Roman"/>
        </w:rPr>
        <w:t xml:space="preserve"> and Lode </w:t>
      </w:r>
      <w:proofErr w:type="spellStart"/>
      <w:r w:rsidRPr="00AC639C">
        <w:rPr>
          <w:rFonts w:ascii="Times New Roman" w:hAnsi="Times New Roman" w:cs="Times New Roman"/>
        </w:rPr>
        <w:t>Wils</w:t>
      </w:r>
      <w:proofErr w:type="spellEnd"/>
      <w:r>
        <w:rPr>
          <w:rFonts w:ascii="Times New Roman" w:hAnsi="Times New Roman" w:cs="Times New Roman"/>
        </w:rPr>
        <w:t xml:space="preserve">. </w:t>
      </w:r>
      <w:r w:rsidRPr="00AC639C">
        <w:rPr>
          <w:rFonts w:ascii="Times New Roman" w:hAnsi="Times New Roman" w:cs="Times New Roman"/>
        </w:rPr>
        <w:t>L</w:t>
      </w:r>
      <w:r>
        <w:rPr>
          <w:rFonts w:ascii="Times New Roman" w:hAnsi="Times New Roman" w:cs="Times New Roman"/>
        </w:rPr>
        <w:t xml:space="preserve">ondon: The </w:t>
      </w:r>
      <w:proofErr w:type="spellStart"/>
      <w:r>
        <w:rPr>
          <w:rFonts w:ascii="Times New Roman" w:hAnsi="Times New Roman" w:cs="Times New Roman"/>
        </w:rPr>
        <w:t>Athlone</w:t>
      </w:r>
      <w:proofErr w:type="spellEnd"/>
      <w:r>
        <w:rPr>
          <w:rFonts w:ascii="Times New Roman" w:hAnsi="Times New Roman" w:cs="Times New Roman"/>
        </w:rPr>
        <w:t xml:space="preserve"> Press, 1992, 206-217</w:t>
      </w:r>
      <w:r w:rsidRPr="00AC639C">
        <w:rPr>
          <w:rFonts w:ascii="Times New Roman" w:hAnsi="Times New Roman" w:cs="Times New Roman"/>
        </w:rPr>
        <w:t>.</w:t>
      </w:r>
    </w:p>
    <w:p w14:paraId="290D1012" w14:textId="77777777" w:rsidR="00801940" w:rsidRDefault="00801940" w:rsidP="00305E7B">
      <w:pPr>
        <w:pStyle w:val="FootnoteText"/>
        <w:rPr>
          <w:rFonts w:ascii="Times New Roman" w:hAnsi="Times New Roman" w:cs="Times New Roman"/>
        </w:rPr>
      </w:pPr>
    </w:p>
    <w:p w14:paraId="6FD7F74B" w14:textId="35A4D27C" w:rsidR="00305E7B" w:rsidRDefault="00305E7B" w:rsidP="00801940">
      <w:pPr>
        <w:pStyle w:val="FootnoteText"/>
        <w:ind w:left="720" w:hanging="720"/>
        <w:rPr>
          <w:rFonts w:ascii="Times New Roman" w:hAnsi="Times New Roman" w:cs="Times New Roman"/>
        </w:rPr>
      </w:pPr>
      <w:r w:rsidRPr="000E69D9">
        <w:rPr>
          <w:rFonts w:ascii="Times New Roman" w:hAnsi="Times New Roman" w:cs="Times New Roman"/>
        </w:rPr>
        <w:t>Devine,</w:t>
      </w:r>
      <w:r w:rsidRPr="00305E7B">
        <w:rPr>
          <w:rFonts w:ascii="Times New Roman" w:hAnsi="Times New Roman" w:cs="Times New Roman"/>
        </w:rPr>
        <w:t xml:space="preserve"> </w:t>
      </w:r>
      <w:r>
        <w:rPr>
          <w:rFonts w:ascii="Times New Roman" w:hAnsi="Times New Roman" w:cs="Times New Roman"/>
        </w:rPr>
        <w:t>T. M.</w:t>
      </w:r>
      <w:r w:rsidRPr="000E69D9">
        <w:rPr>
          <w:rFonts w:ascii="Times New Roman" w:hAnsi="Times New Roman" w:cs="Times New Roman"/>
        </w:rPr>
        <w:t xml:space="preserve"> “Three Hundred Years of the Anglo-Scottish Union</w:t>
      </w:r>
      <w:r>
        <w:rPr>
          <w:rFonts w:ascii="Times New Roman" w:hAnsi="Times New Roman" w:cs="Times New Roman"/>
        </w:rPr>
        <w:t>.” I</w:t>
      </w:r>
      <w:r w:rsidRPr="000E69D9">
        <w:rPr>
          <w:rFonts w:ascii="Times New Roman" w:hAnsi="Times New Roman" w:cs="Times New Roman"/>
        </w:rPr>
        <w:t xml:space="preserve">n </w:t>
      </w:r>
      <w:r w:rsidRPr="000E69D9">
        <w:rPr>
          <w:rFonts w:ascii="Times New Roman" w:hAnsi="Times New Roman" w:cs="Times New Roman"/>
          <w:i/>
        </w:rPr>
        <w:t>Scotland and the Union 1707-2007</w:t>
      </w:r>
      <w:r>
        <w:rPr>
          <w:rFonts w:ascii="Times New Roman" w:hAnsi="Times New Roman" w:cs="Times New Roman"/>
        </w:rPr>
        <w:t>. Edited by</w:t>
      </w:r>
      <w:r w:rsidRPr="000E69D9">
        <w:rPr>
          <w:rFonts w:ascii="Times New Roman" w:hAnsi="Times New Roman" w:cs="Times New Roman"/>
        </w:rPr>
        <w:t xml:space="preserve"> T.M. Devine (Edinburgh: Edi</w:t>
      </w:r>
      <w:r>
        <w:rPr>
          <w:rFonts w:ascii="Times New Roman" w:hAnsi="Times New Roman" w:cs="Times New Roman"/>
        </w:rPr>
        <w:t xml:space="preserve">nburgh University Press, 2008, </w:t>
      </w:r>
      <w:r w:rsidR="009066C7">
        <w:rPr>
          <w:rFonts w:ascii="Times New Roman" w:hAnsi="Times New Roman" w:cs="Times New Roman"/>
        </w:rPr>
        <w:t>1-20.</w:t>
      </w:r>
    </w:p>
    <w:p w14:paraId="752E4FF0" w14:textId="77777777" w:rsidR="00801940" w:rsidRDefault="00801940" w:rsidP="00280C35">
      <w:pPr>
        <w:pStyle w:val="FootnoteText"/>
        <w:ind w:left="720" w:hanging="720"/>
        <w:rPr>
          <w:rFonts w:ascii="Times New Roman" w:hAnsi="Times New Roman" w:cs="Times New Roman"/>
        </w:rPr>
      </w:pPr>
    </w:p>
    <w:p w14:paraId="130C1424" w14:textId="2766B1AD" w:rsidR="003D7966" w:rsidRDefault="003D7966" w:rsidP="00280C35">
      <w:pPr>
        <w:pStyle w:val="FootnoteText"/>
        <w:ind w:left="720" w:hanging="720"/>
        <w:rPr>
          <w:rFonts w:ascii="Times New Roman" w:hAnsi="Times New Roman" w:cs="Times New Roman"/>
        </w:rPr>
      </w:pPr>
      <w:r w:rsidRPr="00AB383B">
        <w:rPr>
          <w:rFonts w:ascii="Times New Roman" w:hAnsi="Times New Roman" w:cs="Times New Roman"/>
        </w:rPr>
        <w:lastRenderedPageBreak/>
        <w:t>Duggan,</w:t>
      </w:r>
      <w:r w:rsidRPr="003D7966">
        <w:rPr>
          <w:rFonts w:ascii="Times New Roman" w:hAnsi="Times New Roman" w:cs="Times New Roman"/>
        </w:rPr>
        <w:t xml:space="preserve"> </w:t>
      </w:r>
      <w:r w:rsidRPr="00AB383B">
        <w:rPr>
          <w:rFonts w:ascii="Times New Roman" w:hAnsi="Times New Roman" w:cs="Times New Roman"/>
        </w:rPr>
        <w:t>Anne Schley</w:t>
      </w:r>
      <w:r>
        <w:rPr>
          <w:rFonts w:ascii="Times New Roman" w:hAnsi="Times New Roman" w:cs="Times New Roman"/>
        </w:rPr>
        <w:t>,</w:t>
      </w:r>
      <w:r w:rsidRPr="00AB383B">
        <w:rPr>
          <w:rFonts w:ascii="Times New Roman" w:hAnsi="Times New Roman" w:cs="Times New Roman"/>
        </w:rPr>
        <w:t xml:space="preserve"> Jeanette </w:t>
      </w:r>
      <w:proofErr w:type="spellStart"/>
      <w:r>
        <w:rPr>
          <w:rFonts w:ascii="Times New Roman" w:hAnsi="Times New Roman" w:cs="Times New Roman"/>
        </w:rPr>
        <w:t>Schlottmann</w:t>
      </w:r>
      <w:proofErr w:type="spellEnd"/>
      <w:r>
        <w:rPr>
          <w:rFonts w:ascii="Times New Roman" w:hAnsi="Times New Roman" w:cs="Times New Roman"/>
        </w:rPr>
        <w:t>, and Abbie Rutledge.</w:t>
      </w:r>
      <w:r w:rsidRPr="00AB383B">
        <w:rPr>
          <w:rFonts w:ascii="Times New Roman" w:hAnsi="Times New Roman" w:cs="Times New Roman"/>
        </w:rPr>
        <w:t xml:space="preserve"> </w:t>
      </w:r>
      <w:r w:rsidRPr="00AB383B">
        <w:rPr>
          <w:rFonts w:ascii="Times New Roman" w:hAnsi="Times New Roman" w:cs="Times New Roman"/>
          <w:i/>
        </w:rPr>
        <w:t>The Teaching of Folk Dance</w:t>
      </w:r>
      <w:r>
        <w:rPr>
          <w:rFonts w:ascii="Times New Roman" w:hAnsi="Times New Roman" w:cs="Times New Roman"/>
        </w:rPr>
        <w:t xml:space="preserve">. </w:t>
      </w:r>
      <w:r w:rsidRPr="00AB383B">
        <w:rPr>
          <w:rFonts w:ascii="Times New Roman" w:hAnsi="Times New Roman" w:cs="Times New Roman"/>
        </w:rPr>
        <w:t>New York: The Ronald Press Compa</w:t>
      </w:r>
      <w:r>
        <w:rPr>
          <w:rFonts w:ascii="Times New Roman" w:hAnsi="Times New Roman" w:cs="Times New Roman"/>
        </w:rPr>
        <w:t>ny, 1948.</w:t>
      </w:r>
    </w:p>
    <w:p w14:paraId="0CBD9C62" w14:textId="77777777" w:rsidR="00801940" w:rsidRDefault="00801940" w:rsidP="00280C35">
      <w:pPr>
        <w:pStyle w:val="FootnoteText"/>
        <w:ind w:left="720" w:hanging="720"/>
        <w:rPr>
          <w:rFonts w:ascii="Times New Roman" w:hAnsi="Times New Roman" w:cs="Times New Roman"/>
        </w:rPr>
      </w:pPr>
    </w:p>
    <w:p w14:paraId="5781C1F1" w14:textId="36F34CA2" w:rsidR="00A21EB1" w:rsidRDefault="00A21EB1" w:rsidP="00280C35">
      <w:pPr>
        <w:pStyle w:val="FootnoteText"/>
        <w:ind w:left="720" w:hanging="720"/>
        <w:rPr>
          <w:rFonts w:ascii="Times New Roman" w:hAnsi="Times New Roman" w:cs="Times New Roman"/>
        </w:rPr>
      </w:pPr>
      <w:r w:rsidRPr="009F35FF">
        <w:rPr>
          <w:rFonts w:ascii="Times New Roman" w:hAnsi="Times New Roman" w:cs="Times New Roman"/>
        </w:rPr>
        <w:t>Finlay,</w:t>
      </w:r>
      <w:r w:rsidRPr="00A21EB1">
        <w:rPr>
          <w:rFonts w:ascii="Times New Roman" w:hAnsi="Times New Roman" w:cs="Times New Roman"/>
        </w:rPr>
        <w:t xml:space="preserve"> </w:t>
      </w:r>
      <w:r w:rsidRPr="009F35FF">
        <w:rPr>
          <w:rFonts w:ascii="Times New Roman" w:hAnsi="Times New Roman" w:cs="Times New Roman"/>
        </w:rPr>
        <w:t>Richard J</w:t>
      </w:r>
      <w:r>
        <w:rPr>
          <w:rFonts w:ascii="Times New Roman" w:hAnsi="Times New Roman" w:cs="Times New Roman"/>
        </w:rPr>
        <w:t>.</w:t>
      </w:r>
      <w:r w:rsidRPr="009F35FF">
        <w:rPr>
          <w:rFonts w:ascii="Times New Roman" w:hAnsi="Times New Roman" w:cs="Times New Roman"/>
        </w:rPr>
        <w:t xml:space="preserve"> “Scotland and the Mo</w:t>
      </w:r>
      <w:r>
        <w:rPr>
          <w:rFonts w:ascii="Times New Roman" w:hAnsi="Times New Roman" w:cs="Times New Roman"/>
        </w:rPr>
        <w:t>narchy in the Twentieth Century.” I</w:t>
      </w:r>
      <w:r w:rsidRPr="009F35FF">
        <w:rPr>
          <w:rFonts w:ascii="Times New Roman" w:hAnsi="Times New Roman" w:cs="Times New Roman"/>
        </w:rPr>
        <w:t xml:space="preserve">n </w:t>
      </w:r>
      <w:r w:rsidRPr="009F35FF">
        <w:rPr>
          <w:rFonts w:ascii="Times New Roman" w:hAnsi="Times New Roman" w:cs="Times New Roman"/>
          <w:i/>
        </w:rPr>
        <w:t>Anglo-Scottish Relations from 1900 to Devolution and Beyond</w:t>
      </w:r>
      <w:r>
        <w:rPr>
          <w:rFonts w:ascii="Times New Roman" w:hAnsi="Times New Roman" w:cs="Times New Roman"/>
        </w:rPr>
        <w:t xml:space="preserve">. Edited by William L. Miller </w:t>
      </w:r>
      <w:r w:rsidRPr="009F35FF">
        <w:rPr>
          <w:rFonts w:ascii="Times New Roman" w:hAnsi="Times New Roman" w:cs="Times New Roman"/>
        </w:rPr>
        <w:t>Oxford</w:t>
      </w:r>
      <w:r>
        <w:rPr>
          <w:rFonts w:ascii="Times New Roman" w:hAnsi="Times New Roman" w:cs="Times New Roman"/>
        </w:rPr>
        <w:t>: Oxford University Press, 2005</w:t>
      </w:r>
      <w:r w:rsidRPr="009F35FF">
        <w:rPr>
          <w:rFonts w:ascii="Times New Roman" w:hAnsi="Times New Roman" w:cs="Times New Roman"/>
        </w:rPr>
        <w:t>,</w:t>
      </w:r>
      <w:r>
        <w:rPr>
          <w:rFonts w:ascii="Times New Roman" w:hAnsi="Times New Roman" w:cs="Times New Roman"/>
        </w:rPr>
        <w:t xml:space="preserve"> 17-34</w:t>
      </w:r>
      <w:r w:rsidRPr="009F35FF">
        <w:rPr>
          <w:rFonts w:ascii="Times New Roman" w:hAnsi="Times New Roman" w:cs="Times New Roman"/>
        </w:rPr>
        <w:t>.</w:t>
      </w:r>
    </w:p>
    <w:p w14:paraId="6125082F" w14:textId="77777777" w:rsidR="00801940" w:rsidRDefault="00801940" w:rsidP="00280C35">
      <w:pPr>
        <w:pStyle w:val="FootnoteText"/>
        <w:ind w:left="720" w:hanging="720"/>
        <w:rPr>
          <w:rFonts w:ascii="Times New Roman" w:hAnsi="Times New Roman" w:cs="Times New Roman"/>
          <w:color w:val="232323"/>
        </w:rPr>
      </w:pPr>
    </w:p>
    <w:p w14:paraId="406A251C" w14:textId="431E85B4" w:rsidR="00863AC4" w:rsidRDefault="00863AC4" w:rsidP="00280C35">
      <w:pPr>
        <w:pStyle w:val="FootnoteText"/>
        <w:ind w:left="720" w:hanging="720"/>
        <w:rPr>
          <w:rFonts w:ascii="Times New Roman" w:hAnsi="Times New Roman" w:cs="Times New Roman"/>
        </w:rPr>
      </w:pPr>
      <w:r w:rsidRPr="00AB383B">
        <w:rPr>
          <w:rFonts w:ascii="Times New Roman" w:hAnsi="Times New Roman" w:cs="Times New Roman"/>
          <w:color w:val="232323"/>
        </w:rPr>
        <w:t>"Flemish Nationalism." In </w:t>
      </w:r>
      <w:r w:rsidRPr="00AB383B">
        <w:rPr>
          <w:rFonts w:ascii="Times New Roman" w:hAnsi="Times New Roman" w:cs="Times New Roman"/>
          <w:i/>
          <w:iCs/>
          <w:color w:val="232323"/>
        </w:rPr>
        <w:t>Encyclopedia of Nationalism: Leaders, Movements, and Concepts</w:t>
      </w:r>
      <w:r w:rsidRPr="00AB383B">
        <w:rPr>
          <w:rFonts w:ascii="Times New Roman" w:hAnsi="Times New Roman" w:cs="Times New Roman"/>
          <w:color w:val="232323"/>
        </w:rPr>
        <w:t xml:space="preserve">, edited by Alexander J. </w:t>
      </w:r>
      <w:proofErr w:type="spellStart"/>
      <w:r w:rsidRPr="00AB383B">
        <w:rPr>
          <w:rFonts w:ascii="Times New Roman" w:hAnsi="Times New Roman" w:cs="Times New Roman"/>
          <w:color w:val="232323"/>
        </w:rPr>
        <w:t>Motyl</w:t>
      </w:r>
      <w:proofErr w:type="spellEnd"/>
      <w:r w:rsidRPr="00AB383B">
        <w:rPr>
          <w:rFonts w:ascii="Times New Roman" w:hAnsi="Times New Roman" w:cs="Times New Roman"/>
          <w:color w:val="232323"/>
        </w:rPr>
        <w:t>. Elsevier Science &amp; Technology, 2000.</w:t>
      </w:r>
    </w:p>
    <w:p w14:paraId="64B7CFD5" w14:textId="77777777" w:rsidR="00801940" w:rsidRDefault="00801940" w:rsidP="00280C35">
      <w:pPr>
        <w:pStyle w:val="FootnoteText"/>
        <w:ind w:left="720" w:hanging="720"/>
        <w:rPr>
          <w:rFonts w:ascii="Times New Roman" w:hAnsi="Times New Roman" w:cs="Times New Roman"/>
        </w:rPr>
      </w:pPr>
    </w:p>
    <w:p w14:paraId="7B4F0805" w14:textId="2DF8F623" w:rsidR="0010554A" w:rsidRDefault="0010554A" w:rsidP="00280C35">
      <w:pPr>
        <w:pStyle w:val="FootnoteText"/>
        <w:ind w:left="720" w:hanging="720"/>
        <w:rPr>
          <w:rFonts w:ascii="Times New Roman" w:hAnsi="Times New Roman" w:cs="Times New Roman"/>
        </w:rPr>
      </w:pPr>
      <w:r w:rsidRPr="00890B68">
        <w:rPr>
          <w:rFonts w:ascii="Times New Roman" w:hAnsi="Times New Roman" w:cs="Times New Roman"/>
        </w:rPr>
        <w:t>Geertz,</w:t>
      </w:r>
      <w:r w:rsidRPr="0010554A">
        <w:rPr>
          <w:rFonts w:ascii="Times New Roman" w:hAnsi="Times New Roman" w:cs="Times New Roman"/>
        </w:rPr>
        <w:t xml:space="preserve"> </w:t>
      </w:r>
      <w:r w:rsidRPr="00890B68">
        <w:rPr>
          <w:rFonts w:ascii="Times New Roman" w:hAnsi="Times New Roman" w:cs="Times New Roman"/>
        </w:rPr>
        <w:t>Clifford</w:t>
      </w:r>
      <w:r>
        <w:rPr>
          <w:rFonts w:ascii="Times New Roman" w:hAnsi="Times New Roman" w:cs="Times New Roman"/>
        </w:rPr>
        <w:t>.</w:t>
      </w:r>
      <w:r w:rsidRPr="00890B68">
        <w:rPr>
          <w:rFonts w:ascii="Times New Roman" w:hAnsi="Times New Roman" w:cs="Times New Roman"/>
        </w:rPr>
        <w:t xml:space="preserve"> </w:t>
      </w:r>
      <w:r w:rsidRPr="00A24F2B">
        <w:rPr>
          <w:rFonts w:ascii="Times New Roman" w:hAnsi="Times New Roman" w:cs="Times New Roman"/>
          <w:i/>
        </w:rPr>
        <w:t xml:space="preserve">The Interpretation of Cultures: Selected </w:t>
      </w:r>
      <w:r w:rsidRPr="0010554A">
        <w:rPr>
          <w:rFonts w:ascii="Times New Roman" w:hAnsi="Times New Roman" w:cs="Times New Roman"/>
          <w:i/>
        </w:rPr>
        <w:t>Essays</w:t>
      </w:r>
      <w:r>
        <w:rPr>
          <w:rFonts w:ascii="Times New Roman" w:hAnsi="Times New Roman" w:cs="Times New Roman"/>
        </w:rPr>
        <w:t>. New York: Basic Books, 1973.</w:t>
      </w:r>
    </w:p>
    <w:p w14:paraId="7AAD19A2" w14:textId="77777777" w:rsidR="00801940" w:rsidRDefault="00801940" w:rsidP="00280C35">
      <w:pPr>
        <w:pStyle w:val="FootnoteText"/>
        <w:ind w:left="720" w:hanging="720"/>
        <w:rPr>
          <w:rFonts w:ascii="Times New Roman" w:hAnsi="Times New Roman" w:cs="Times New Roman"/>
        </w:rPr>
      </w:pPr>
    </w:p>
    <w:p w14:paraId="3BDD7AF8" w14:textId="2D57EA7E" w:rsidR="005F4A01" w:rsidRDefault="005F4A01" w:rsidP="00280C35">
      <w:pPr>
        <w:pStyle w:val="FootnoteText"/>
        <w:ind w:left="720" w:hanging="720"/>
        <w:rPr>
          <w:rFonts w:ascii="Times New Roman" w:hAnsi="Times New Roman" w:cs="Times New Roman"/>
        </w:rPr>
      </w:pPr>
      <w:proofErr w:type="spellStart"/>
      <w:r w:rsidRPr="009F35FF">
        <w:rPr>
          <w:rFonts w:ascii="Times New Roman" w:hAnsi="Times New Roman" w:cs="Times New Roman"/>
        </w:rPr>
        <w:t>Hossay</w:t>
      </w:r>
      <w:proofErr w:type="spellEnd"/>
      <w:r w:rsidRPr="009F35FF">
        <w:rPr>
          <w:rFonts w:ascii="Times New Roman" w:hAnsi="Times New Roman" w:cs="Times New Roman"/>
        </w:rPr>
        <w:t>,</w:t>
      </w:r>
      <w:r w:rsidRPr="005F4A01">
        <w:rPr>
          <w:rFonts w:ascii="Times New Roman" w:hAnsi="Times New Roman" w:cs="Times New Roman"/>
        </w:rPr>
        <w:t xml:space="preserve"> </w:t>
      </w:r>
      <w:r w:rsidRPr="009F35FF">
        <w:rPr>
          <w:rFonts w:ascii="Times New Roman" w:hAnsi="Times New Roman" w:cs="Times New Roman"/>
        </w:rPr>
        <w:t>Patrick</w:t>
      </w:r>
      <w:r>
        <w:rPr>
          <w:rFonts w:ascii="Times New Roman" w:hAnsi="Times New Roman" w:cs="Times New Roman"/>
        </w:rPr>
        <w:t>.</w:t>
      </w:r>
      <w:r w:rsidRPr="009F35FF">
        <w:rPr>
          <w:rFonts w:ascii="Times New Roman" w:hAnsi="Times New Roman" w:cs="Times New Roman"/>
        </w:rPr>
        <w:t xml:space="preserve"> “’Our People First!’ Understanding the Resonance of the </w:t>
      </w:r>
      <w:proofErr w:type="spellStart"/>
      <w:r w:rsidRPr="009F35FF">
        <w:rPr>
          <w:rFonts w:ascii="Times New Roman" w:hAnsi="Times New Roman" w:cs="Times New Roman"/>
        </w:rPr>
        <w:t>Vla</w:t>
      </w:r>
      <w:r>
        <w:rPr>
          <w:rFonts w:ascii="Times New Roman" w:hAnsi="Times New Roman" w:cs="Times New Roman"/>
        </w:rPr>
        <w:t>ams</w:t>
      </w:r>
      <w:proofErr w:type="spellEnd"/>
      <w:r>
        <w:rPr>
          <w:rFonts w:ascii="Times New Roman" w:hAnsi="Times New Roman" w:cs="Times New Roman"/>
        </w:rPr>
        <w:t xml:space="preserve"> Blok’s Xenophobic </w:t>
      </w:r>
      <w:proofErr w:type="spellStart"/>
      <w:r>
        <w:rPr>
          <w:rFonts w:ascii="Times New Roman" w:hAnsi="Times New Roman" w:cs="Times New Roman"/>
        </w:rPr>
        <w:t>Programme</w:t>
      </w:r>
      <w:proofErr w:type="spellEnd"/>
      <w:r>
        <w:rPr>
          <w:rFonts w:ascii="Times New Roman" w:hAnsi="Times New Roman" w:cs="Times New Roman"/>
        </w:rPr>
        <w:t>.</w:t>
      </w:r>
      <w:r w:rsidRPr="009F35FF">
        <w:rPr>
          <w:rFonts w:ascii="Times New Roman" w:hAnsi="Times New Roman" w:cs="Times New Roman"/>
        </w:rPr>
        <w:t xml:space="preserve">” </w:t>
      </w:r>
      <w:r w:rsidRPr="009F35FF">
        <w:rPr>
          <w:rFonts w:ascii="Times New Roman" w:hAnsi="Times New Roman" w:cs="Times New Roman"/>
          <w:i/>
        </w:rPr>
        <w:t>Social Identities</w:t>
      </w:r>
      <w:r w:rsidRPr="009F35FF">
        <w:rPr>
          <w:rFonts w:ascii="Times New Roman" w:hAnsi="Times New Roman" w:cs="Times New Roman"/>
        </w:rPr>
        <w:t xml:space="preserve"> 2 no. 3 (1996):</w:t>
      </w:r>
      <w:r>
        <w:rPr>
          <w:rFonts w:ascii="Times New Roman" w:hAnsi="Times New Roman" w:cs="Times New Roman"/>
        </w:rPr>
        <w:t xml:space="preserve"> </w:t>
      </w:r>
      <w:proofErr w:type="spellStart"/>
      <w:r>
        <w:rPr>
          <w:rFonts w:ascii="Times New Roman" w:hAnsi="Times New Roman" w:cs="Times New Roman"/>
        </w:rPr>
        <w:t>n.p</w:t>
      </w:r>
      <w:proofErr w:type="spellEnd"/>
      <w:r>
        <w:rPr>
          <w:rFonts w:ascii="Times New Roman" w:hAnsi="Times New Roman" w:cs="Times New Roman"/>
        </w:rPr>
        <w:t>.</w:t>
      </w:r>
    </w:p>
    <w:p w14:paraId="5DBD5456" w14:textId="77777777" w:rsidR="00801940" w:rsidRDefault="00801940" w:rsidP="00280C35">
      <w:pPr>
        <w:pStyle w:val="FootnoteText"/>
        <w:ind w:left="720" w:hanging="720"/>
        <w:rPr>
          <w:rFonts w:ascii="Times New Roman" w:hAnsi="Times New Roman" w:cs="Times New Roman"/>
        </w:rPr>
      </w:pPr>
    </w:p>
    <w:p w14:paraId="56976F41" w14:textId="7F9BFCCB" w:rsidR="008B4EC6" w:rsidRDefault="008B4EC6" w:rsidP="00280C35">
      <w:pPr>
        <w:pStyle w:val="FootnoteText"/>
        <w:ind w:left="720" w:hanging="720"/>
        <w:rPr>
          <w:rFonts w:ascii="Times New Roman" w:hAnsi="Times New Roman" w:cs="Times New Roman"/>
        </w:rPr>
      </w:pPr>
      <w:r w:rsidRPr="009F35FF">
        <w:rPr>
          <w:rFonts w:ascii="Times New Roman" w:hAnsi="Times New Roman" w:cs="Times New Roman"/>
        </w:rPr>
        <w:t>Howard,</w:t>
      </w:r>
      <w:r w:rsidRPr="008B4EC6">
        <w:rPr>
          <w:rFonts w:ascii="Times New Roman" w:hAnsi="Times New Roman" w:cs="Times New Roman"/>
        </w:rPr>
        <w:t xml:space="preserve"> </w:t>
      </w:r>
      <w:r w:rsidRPr="009F35FF">
        <w:rPr>
          <w:rFonts w:ascii="Times New Roman" w:hAnsi="Times New Roman" w:cs="Times New Roman"/>
        </w:rPr>
        <w:t>Keith</w:t>
      </w:r>
      <w:r>
        <w:rPr>
          <w:rFonts w:ascii="Times New Roman" w:hAnsi="Times New Roman" w:cs="Times New Roman"/>
        </w:rPr>
        <w:t>.</w:t>
      </w:r>
      <w:r w:rsidRPr="009F35FF">
        <w:rPr>
          <w:rFonts w:ascii="Times New Roman" w:hAnsi="Times New Roman" w:cs="Times New Roman"/>
        </w:rPr>
        <w:t xml:space="preserve"> “Introduction: East Asian Music as Intangible Cultural Heritage</w:t>
      </w:r>
      <w:r>
        <w:rPr>
          <w:rFonts w:ascii="Times New Roman" w:hAnsi="Times New Roman" w:cs="Times New Roman"/>
        </w:rPr>
        <w:t>.” I</w:t>
      </w:r>
      <w:r w:rsidRPr="009F35FF">
        <w:rPr>
          <w:rFonts w:ascii="Times New Roman" w:hAnsi="Times New Roman" w:cs="Times New Roman"/>
        </w:rPr>
        <w:t xml:space="preserve">n </w:t>
      </w:r>
      <w:proofErr w:type="gramStart"/>
      <w:r w:rsidRPr="009F35FF">
        <w:rPr>
          <w:rFonts w:ascii="Times New Roman" w:hAnsi="Times New Roman" w:cs="Times New Roman"/>
          <w:i/>
        </w:rPr>
        <w:t>Music</w:t>
      </w:r>
      <w:proofErr w:type="gramEnd"/>
      <w:r w:rsidRPr="009F35FF">
        <w:rPr>
          <w:rFonts w:ascii="Times New Roman" w:hAnsi="Times New Roman" w:cs="Times New Roman"/>
          <w:i/>
        </w:rPr>
        <w:t xml:space="preserve"> as Intangible Cultural Heritage: Policy, Ideology, and Practice in the Preservation of East Asian Traditions</w:t>
      </w:r>
      <w:r>
        <w:rPr>
          <w:rFonts w:ascii="Times New Roman" w:hAnsi="Times New Roman" w:cs="Times New Roman"/>
        </w:rPr>
        <w:t xml:space="preserve">. Burlington, VT: </w:t>
      </w:r>
      <w:proofErr w:type="spellStart"/>
      <w:r>
        <w:rPr>
          <w:rFonts w:ascii="Times New Roman" w:hAnsi="Times New Roman" w:cs="Times New Roman"/>
        </w:rPr>
        <w:t>Ashgate</w:t>
      </w:r>
      <w:proofErr w:type="spellEnd"/>
      <w:r>
        <w:rPr>
          <w:rFonts w:ascii="Times New Roman" w:hAnsi="Times New Roman" w:cs="Times New Roman"/>
        </w:rPr>
        <w:t>, 2012</w:t>
      </w:r>
      <w:r w:rsidR="00844551">
        <w:rPr>
          <w:rFonts w:ascii="Times New Roman" w:hAnsi="Times New Roman" w:cs="Times New Roman"/>
        </w:rPr>
        <w:t>, 1-22.</w:t>
      </w:r>
    </w:p>
    <w:p w14:paraId="43594414" w14:textId="77777777" w:rsidR="00801940" w:rsidRDefault="00801940" w:rsidP="00280C35">
      <w:pPr>
        <w:pStyle w:val="FootnoteText"/>
        <w:ind w:left="720" w:hanging="720"/>
        <w:rPr>
          <w:rFonts w:ascii="Times New Roman" w:hAnsi="Times New Roman" w:cs="Times New Roman"/>
        </w:rPr>
      </w:pPr>
    </w:p>
    <w:p w14:paraId="5ADBFAA6" w14:textId="7C2D6B05" w:rsidR="00175A71" w:rsidRDefault="00175A71" w:rsidP="00280C35">
      <w:pPr>
        <w:pStyle w:val="FootnoteText"/>
        <w:ind w:left="720" w:hanging="720"/>
        <w:rPr>
          <w:rFonts w:ascii="Times New Roman" w:hAnsi="Times New Roman" w:cs="Times New Roman"/>
        </w:rPr>
      </w:pPr>
      <w:r w:rsidRPr="00AB383B">
        <w:rPr>
          <w:rFonts w:ascii="Times New Roman" w:hAnsi="Times New Roman" w:cs="Times New Roman"/>
        </w:rPr>
        <w:t>Hunter,</w:t>
      </w:r>
      <w:r w:rsidRPr="00175A71">
        <w:rPr>
          <w:rFonts w:ascii="Times New Roman" w:hAnsi="Times New Roman" w:cs="Times New Roman"/>
        </w:rPr>
        <w:t xml:space="preserve"> </w:t>
      </w:r>
      <w:r w:rsidRPr="00AB383B">
        <w:rPr>
          <w:rFonts w:ascii="Times New Roman" w:hAnsi="Times New Roman" w:cs="Times New Roman"/>
        </w:rPr>
        <w:t>James</w:t>
      </w:r>
      <w:r>
        <w:rPr>
          <w:rFonts w:ascii="Times New Roman" w:hAnsi="Times New Roman" w:cs="Times New Roman"/>
        </w:rPr>
        <w:t>.</w:t>
      </w:r>
      <w:r w:rsidRPr="00AB383B">
        <w:rPr>
          <w:rFonts w:ascii="Times New Roman" w:hAnsi="Times New Roman" w:cs="Times New Roman"/>
        </w:rPr>
        <w:t xml:space="preserve"> </w:t>
      </w:r>
      <w:r w:rsidRPr="00AB383B">
        <w:rPr>
          <w:rFonts w:ascii="Times New Roman" w:hAnsi="Times New Roman" w:cs="Times New Roman"/>
          <w:i/>
        </w:rPr>
        <w:t>Last of the Free: A Millennial History of the Highlands and Islands of Scotland</w:t>
      </w:r>
      <w:r>
        <w:rPr>
          <w:rFonts w:ascii="Times New Roman" w:hAnsi="Times New Roman" w:cs="Times New Roman"/>
        </w:rPr>
        <w:t xml:space="preserve">. </w:t>
      </w:r>
      <w:r w:rsidRPr="00AB383B">
        <w:rPr>
          <w:rFonts w:ascii="Times New Roman" w:hAnsi="Times New Roman" w:cs="Times New Roman"/>
        </w:rPr>
        <w:t>Edinbur</w:t>
      </w:r>
      <w:r>
        <w:rPr>
          <w:rFonts w:ascii="Times New Roman" w:hAnsi="Times New Roman" w:cs="Times New Roman"/>
        </w:rPr>
        <w:t>gh: Mainstream Publishing, 1999.</w:t>
      </w:r>
    </w:p>
    <w:p w14:paraId="52958F20" w14:textId="77777777" w:rsidR="00801940" w:rsidRDefault="00801940" w:rsidP="00280C35">
      <w:pPr>
        <w:pStyle w:val="FootnoteText"/>
        <w:ind w:left="720" w:hanging="720"/>
        <w:rPr>
          <w:rFonts w:ascii="Times New Roman" w:hAnsi="Times New Roman" w:cs="Times New Roman"/>
        </w:rPr>
      </w:pPr>
    </w:p>
    <w:p w14:paraId="1726AC3C" w14:textId="4A74D1CF" w:rsidR="00746620" w:rsidRDefault="00746620" w:rsidP="00280C35">
      <w:pPr>
        <w:pStyle w:val="FootnoteText"/>
        <w:ind w:left="720" w:hanging="720"/>
        <w:rPr>
          <w:rFonts w:ascii="Times New Roman" w:hAnsi="Times New Roman" w:cs="Times New Roman"/>
        </w:rPr>
      </w:pPr>
      <w:proofErr w:type="spellStart"/>
      <w:r w:rsidRPr="00AB383B">
        <w:rPr>
          <w:rFonts w:ascii="Times New Roman" w:hAnsi="Times New Roman" w:cs="Times New Roman"/>
        </w:rPr>
        <w:t>Kaeppler</w:t>
      </w:r>
      <w:proofErr w:type="spellEnd"/>
      <w:r w:rsidRPr="00AB383B">
        <w:rPr>
          <w:rFonts w:ascii="Times New Roman" w:hAnsi="Times New Roman" w:cs="Times New Roman"/>
        </w:rPr>
        <w:t>,</w:t>
      </w:r>
      <w:r w:rsidRPr="00746620">
        <w:rPr>
          <w:rFonts w:ascii="Times New Roman" w:hAnsi="Times New Roman" w:cs="Times New Roman"/>
        </w:rPr>
        <w:t xml:space="preserve"> </w:t>
      </w:r>
      <w:r>
        <w:rPr>
          <w:rFonts w:ascii="Times New Roman" w:hAnsi="Times New Roman" w:cs="Times New Roman"/>
        </w:rPr>
        <w:t>Adrienne L. “Dance.</w:t>
      </w:r>
      <w:r w:rsidRPr="00AB383B">
        <w:rPr>
          <w:rFonts w:ascii="Times New Roman" w:hAnsi="Times New Roman" w:cs="Times New Roman"/>
        </w:rPr>
        <w:t xml:space="preserve">” in </w:t>
      </w:r>
      <w:r w:rsidRPr="00AB383B">
        <w:rPr>
          <w:rFonts w:ascii="Times New Roman" w:hAnsi="Times New Roman" w:cs="Times New Roman"/>
          <w:i/>
        </w:rPr>
        <w:t>Folklore, Cultural Performances, and Popular Entertainments</w:t>
      </w:r>
      <w:r>
        <w:rPr>
          <w:rFonts w:ascii="Times New Roman" w:hAnsi="Times New Roman" w:cs="Times New Roman"/>
        </w:rPr>
        <w:t xml:space="preserve">. Edited by Richard Bauman </w:t>
      </w:r>
      <w:r w:rsidRPr="00AB383B">
        <w:rPr>
          <w:rFonts w:ascii="Times New Roman" w:hAnsi="Times New Roman" w:cs="Times New Roman"/>
        </w:rPr>
        <w:t>New York: Oxf</w:t>
      </w:r>
      <w:r>
        <w:rPr>
          <w:rFonts w:ascii="Times New Roman" w:hAnsi="Times New Roman" w:cs="Times New Roman"/>
        </w:rPr>
        <w:t>ord University Press, 1992, 196-203.</w:t>
      </w:r>
    </w:p>
    <w:p w14:paraId="4EA0B2FD" w14:textId="77777777" w:rsidR="00801940" w:rsidRDefault="00801940" w:rsidP="00280C35">
      <w:pPr>
        <w:pStyle w:val="FootnoteText"/>
        <w:ind w:left="720" w:hanging="720"/>
        <w:rPr>
          <w:rFonts w:ascii="Times New Roman" w:hAnsi="Times New Roman" w:cs="Times New Roman"/>
        </w:rPr>
      </w:pPr>
    </w:p>
    <w:p w14:paraId="09EA80AC" w14:textId="57FDDD6C" w:rsidR="00AE673E" w:rsidRDefault="00AE673E" w:rsidP="00280C35">
      <w:pPr>
        <w:pStyle w:val="FootnoteText"/>
        <w:ind w:left="720" w:hanging="720"/>
        <w:rPr>
          <w:rFonts w:ascii="Times New Roman" w:hAnsi="Times New Roman" w:cs="Times New Roman"/>
        </w:rPr>
      </w:pPr>
      <w:r w:rsidRPr="009F35FF">
        <w:rPr>
          <w:rFonts w:ascii="Times New Roman" w:hAnsi="Times New Roman" w:cs="Times New Roman"/>
        </w:rPr>
        <w:t>Kern,</w:t>
      </w:r>
      <w:r w:rsidRPr="00AE673E">
        <w:rPr>
          <w:rFonts w:ascii="Times New Roman" w:hAnsi="Times New Roman" w:cs="Times New Roman"/>
        </w:rPr>
        <w:t xml:space="preserve"> </w:t>
      </w:r>
      <w:r w:rsidRPr="009F35FF">
        <w:rPr>
          <w:rFonts w:ascii="Times New Roman" w:hAnsi="Times New Roman" w:cs="Times New Roman"/>
        </w:rPr>
        <w:t>Thomas</w:t>
      </w:r>
      <w:r>
        <w:rPr>
          <w:rFonts w:ascii="Times New Roman" w:hAnsi="Times New Roman" w:cs="Times New Roman"/>
        </w:rPr>
        <w:t>.</w:t>
      </w:r>
      <w:r w:rsidRPr="009F35FF">
        <w:rPr>
          <w:rFonts w:ascii="Times New Roman" w:hAnsi="Times New Roman" w:cs="Times New Roman"/>
        </w:rPr>
        <w:t xml:space="preserve"> “Cultural Performa</w:t>
      </w:r>
      <w:r>
        <w:rPr>
          <w:rFonts w:ascii="Times New Roman" w:hAnsi="Times New Roman" w:cs="Times New Roman"/>
        </w:rPr>
        <w:t>nce and Political Regime Change.</w:t>
      </w:r>
      <w:r w:rsidRPr="009F35FF">
        <w:rPr>
          <w:rFonts w:ascii="Times New Roman" w:hAnsi="Times New Roman" w:cs="Times New Roman"/>
        </w:rPr>
        <w:t xml:space="preserve">” </w:t>
      </w:r>
      <w:r w:rsidRPr="009F35FF">
        <w:rPr>
          <w:rFonts w:ascii="Times New Roman" w:hAnsi="Times New Roman" w:cs="Times New Roman"/>
          <w:i/>
        </w:rPr>
        <w:t>Sociological Theory</w:t>
      </w:r>
      <w:r>
        <w:rPr>
          <w:rFonts w:ascii="Times New Roman" w:hAnsi="Times New Roman" w:cs="Times New Roman"/>
        </w:rPr>
        <w:t xml:space="preserve"> 27 no. 3 (2009): 291-316</w:t>
      </w:r>
      <w:r w:rsidRPr="009F35FF">
        <w:rPr>
          <w:rFonts w:ascii="Times New Roman" w:hAnsi="Times New Roman" w:cs="Times New Roman"/>
        </w:rPr>
        <w:t>.</w:t>
      </w:r>
    </w:p>
    <w:p w14:paraId="05FF7120" w14:textId="77777777" w:rsidR="00801940" w:rsidRDefault="00801940" w:rsidP="00280C35">
      <w:pPr>
        <w:pStyle w:val="FootnoteText"/>
        <w:ind w:left="720" w:hanging="720"/>
        <w:rPr>
          <w:rFonts w:ascii="Times New Roman" w:hAnsi="Times New Roman" w:cs="Times New Roman"/>
        </w:rPr>
      </w:pPr>
    </w:p>
    <w:p w14:paraId="143B9FA6" w14:textId="2A86053B" w:rsidR="00F71061" w:rsidRDefault="00F71061" w:rsidP="00280C35">
      <w:pPr>
        <w:pStyle w:val="FootnoteText"/>
        <w:ind w:left="720" w:hanging="720"/>
        <w:rPr>
          <w:rFonts w:ascii="Times New Roman" w:hAnsi="Times New Roman" w:cs="Times New Roman"/>
        </w:rPr>
      </w:pPr>
      <w:proofErr w:type="spellStart"/>
      <w:r w:rsidRPr="00AC639C">
        <w:rPr>
          <w:rFonts w:ascii="Times New Roman" w:hAnsi="Times New Roman" w:cs="Times New Roman"/>
        </w:rPr>
        <w:t>Kesteloot</w:t>
      </w:r>
      <w:proofErr w:type="spellEnd"/>
      <w:r w:rsidRPr="00AC639C">
        <w:rPr>
          <w:rFonts w:ascii="Times New Roman" w:hAnsi="Times New Roman" w:cs="Times New Roman"/>
        </w:rPr>
        <w:t>,</w:t>
      </w:r>
      <w:r w:rsidRPr="00F71061">
        <w:rPr>
          <w:rFonts w:ascii="Times New Roman" w:hAnsi="Times New Roman" w:cs="Times New Roman"/>
        </w:rPr>
        <w:t xml:space="preserve"> </w:t>
      </w:r>
      <w:r w:rsidRPr="00AC639C">
        <w:rPr>
          <w:rFonts w:ascii="Times New Roman" w:hAnsi="Times New Roman" w:cs="Times New Roman"/>
        </w:rPr>
        <w:t>Chantal</w:t>
      </w:r>
      <w:r>
        <w:rPr>
          <w:rFonts w:ascii="Times New Roman" w:hAnsi="Times New Roman" w:cs="Times New Roman"/>
        </w:rPr>
        <w:t>.</w:t>
      </w:r>
      <w:r w:rsidRPr="00AC639C">
        <w:rPr>
          <w:rFonts w:ascii="Times New Roman" w:hAnsi="Times New Roman" w:cs="Times New Roman"/>
        </w:rPr>
        <w:t xml:space="preserve"> “Growth of the Walloon Movement</w:t>
      </w:r>
      <w:r>
        <w:rPr>
          <w:rFonts w:ascii="Times New Roman" w:hAnsi="Times New Roman" w:cs="Times New Roman"/>
        </w:rPr>
        <w:t>.” I</w:t>
      </w:r>
      <w:r w:rsidRPr="00AC639C">
        <w:rPr>
          <w:rFonts w:ascii="Times New Roman" w:hAnsi="Times New Roman" w:cs="Times New Roman"/>
        </w:rPr>
        <w:t xml:space="preserve">n </w:t>
      </w:r>
      <w:r w:rsidRPr="00AC639C">
        <w:rPr>
          <w:rFonts w:ascii="Times New Roman" w:hAnsi="Times New Roman" w:cs="Times New Roman"/>
          <w:i/>
        </w:rPr>
        <w:t>Nationalism in Belgium</w:t>
      </w:r>
      <w:r>
        <w:rPr>
          <w:rFonts w:ascii="Times New Roman" w:hAnsi="Times New Roman" w:cs="Times New Roman"/>
          <w:i/>
        </w:rPr>
        <w:t>: Shifting Identities, 1780-1995</w:t>
      </w:r>
      <w:r>
        <w:rPr>
          <w:rFonts w:ascii="Times New Roman" w:hAnsi="Times New Roman" w:cs="Times New Roman"/>
        </w:rPr>
        <w:t>.</w:t>
      </w:r>
      <w:r w:rsidRPr="00AC639C">
        <w:rPr>
          <w:rFonts w:ascii="Times New Roman" w:hAnsi="Times New Roman" w:cs="Times New Roman"/>
        </w:rPr>
        <w:t xml:space="preserve"> </w:t>
      </w:r>
      <w:r>
        <w:rPr>
          <w:rFonts w:ascii="Times New Roman" w:hAnsi="Times New Roman" w:cs="Times New Roman"/>
        </w:rPr>
        <w:t>Edited by</w:t>
      </w:r>
      <w:r w:rsidRPr="00AC639C">
        <w:rPr>
          <w:rFonts w:ascii="Times New Roman" w:hAnsi="Times New Roman" w:cs="Times New Roman"/>
        </w:rPr>
        <w:t xml:space="preserve"> </w:t>
      </w:r>
      <w:proofErr w:type="spellStart"/>
      <w:r w:rsidRPr="00AC639C">
        <w:rPr>
          <w:rFonts w:ascii="Times New Roman" w:hAnsi="Times New Roman" w:cs="Times New Roman"/>
        </w:rPr>
        <w:t>Kas</w:t>
      </w:r>
      <w:proofErr w:type="spellEnd"/>
      <w:r w:rsidRPr="00AC639C">
        <w:rPr>
          <w:rFonts w:ascii="Times New Roman" w:hAnsi="Times New Roman" w:cs="Times New Roman"/>
        </w:rPr>
        <w:t xml:space="preserve"> </w:t>
      </w:r>
      <w:proofErr w:type="spellStart"/>
      <w:r w:rsidRPr="00AC639C">
        <w:rPr>
          <w:rFonts w:ascii="Times New Roman" w:hAnsi="Times New Roman" w:cs="Times New Roman"/>
        </w:rPr>
        <w:t>Deprez</w:t>
      </w:r>
      <w:proofErr w:type="spellEnd"/>
      <w:r w:rsidRPr="00AC639C">
        <w:rPr>
          <w:rFonts w:ascii="Times New Roman" w:hAnsi="Times New Roman" w:cs="Times New Roman"/>
        </w:rPr>
        <w:t xml:space="preserve"> and Louis </w:t>
      </w:r>
      <w:proofErr w:type="spellStart"/>
      <w:r w:rsidRPr="00AC639C">
        <w:rPr>
          <w:rFonts w:ascii="Times New Roman" w:hAnsi="Times New Roman" w:cs="Times New Roman"/>
        </w:rPr>
        <w:t>Vos</w:t>
      </w:r>
      <w:proofErr w:type="spellEnd"/>
      <w:r>
        <w:rPr>
          <w:rFonts w:ascii="Times New Roman" w:hAnsi="Times New Roman" w:cs="Times New Roman"/>
        </w:rPr>
        <w:t xml:space="preserve">. </w:t>
      </w:r>
      <w:r w:rsidRPr="00AC639C">
        <w:rPr>
          <w:rFonts w:ascii="Times New Roman" w:hAnsi="Times New Roman" w:cs="Times New Roman"/>
        </w:rPr>
        <w:t>New Y</w:t>
      </w:r>
      <w:r>
        <w:rPr>
          <w:rFonts w:ascii="Times New Roman" w:hAnsi="Times New Roman" w:cs="Times New Roman"/>
        </w:rPr>
        <w:t xml:space="preserve">ork: St. Martin’s Press, 1998, </w:t>
      </w:r>
      <w:r w:rsidRPr="00AC639C">
        <w:rPr>
          <w:rFonts w:ascii="Times New Roman" w:hAnsi="Times New Roman" w:cs="Times New Roman"/>
        </w:rPr>
        <w:t>139</w:t>
      </w:r>
      <w:r>
        <w:rPr>
          <w:rFonts w:ascii="Times New Roman" w:hAnsi="Times New Roman" w:cs="Times New Roman"/>
        </w:rPr>
        <w:t>-</w:t>
      </w:r>
      <w:r w:rsidR="002B1072">
        <w:rPr>
          <w:rFonts w:ascii="Times New Roman" w:hAnsi="Times New Roman" w:cs="Times New Roman"/>
        </w:rPr>
        <w:t>152</w:t>
      </w:r>
      <w:r w:rsidRPr="00AC639C">
        <w:rPr>
          <w:rFonts w:ascii="Times New Roman" w:hAnsi="Times New Roman" w:cs="Times New Roman"/>
        </w:rPr>
        <w:t>.</w:t>
      </w:r>
    </w:p>
    <w:p w14:paraId="33A38A9A" w14:textId="77777777" w:rsidR="00801940" w:rsidRDefault="00801940" w:rsidP="00280C35">
      <w:pPr>
        <w:pStyle w:val="FootnoteText"/>
        <w:ind w:left="720" w:hanging="720"/>
        <w:rPr>
          <w:rFonts w:ascii="Times New Roman" w:hAnsi="Times New Roman" w:cs="Times New Roman"/>
        </w:rPr>
      </w:pPr>
    </w:p>
    <w:p w14:paraId="5DE7A9A4" w14:textId="79312B4B" w:rsidR="00481DC6" w:rsidRDefault="00481DC6" w:rsidP="00280C35">
      <w:pPr>
        <w:pStyle w:val="FootnoteText"/>
        <w:ind w:left="720" w:hanging="720"/>
        <w:rPr>
          <w:rFonts w:ascii="Times New Roman" w:hAnsi="Times New Roman" w:cs="Times New Roman"/>
        </w:rPr>
      </w:pPr>
      <w:r w:rsidRPr="000E69D9">
        <w:rPr>
          <w:rFonts w:ascii="Times New Roman" w:hAnsi="Times New Roman" w:cs="Times New Roman"/>
        </w:rPr>
        <w:t>Kidd, Colin</w:t>
      </w:r>
      <w:r>
        <w:rPr>
          <w:rFonts w:ascii="Times New Roman" w:hAnsi="Times New Roman" w:cs="Times New Roman"/>
        </w:rPr>
        <w:t>.</w:t>
      </w:r>
      <w:r w:rsidRPr="000E69D9">
        <w:rPr>
          <w:rFonts w:ascii="Times New Roman" w:hAnsi="Times New Roman" w:cs="Times New Roman"/>
        </w:rPr>
        <w:t xml:space="preserve"> </w:t>
      </w:r>
      <w:r w:rsidRPr="000E69D9">
        <w:rPr>
          <w:rFonts w:ascii="Times New Roman" w:hAnsi="Times New Roman" w:cs="Times New Roman"/>
          <w:i/>
        </w:rPr>
        <w:t>Union and Unionism: Political Thought in Scotland, 1500-2000</w:t>
      </w:r>
      <w:r>
        <w:rPr>
          <w:rFonts w:ascii="Times New Roman" w:hAnsi="Times New Roman" w:cs="Times New Roman"/>
        </w:rPr>
        <w:t xml:space="preserve">. </w:t>
      </w:r>
      <w:r w:rsidRPr="000E69D9">
        <w:rPr>
          <w:rFonts w:ascii="Times New Roman" w:hAnsi="Times New Roman" w:cs="Times New Roman"/>
        </w:rPr>
        <w:t>Cambridge: Ca</w:t>
      </w:r>
      <w:r>
        <w:rPr>
          <w:rFonts w:ascii="Times New Roman" w:hAnsi="Times New Roman" w:cs="Times New Roman"/>
        </w:rPr>
        <w:t>mbridge University Press, 2008.</w:t>
      </w:r>
    </w:p>
    <w:p w14:paraId="240915B5" w14:textId="77777777" w:rsidR="00801940" w:rsidRDefault="00801940" w:rsidP="00280C35">
      <w:pPr>
        <w:pStyle w:val="FootnoteText"/>
        <w:ind w:left="720" w:hanging="720"/>
        <w:rPr>
          <w:rFonts w:ascii="Times New Roman" w:hAnsi="Times New Roman" w:cs="Times New Roman"/>
        </w:rPr>
      </w:pPr>
    </w:p>
    <w:p w14:paraId="52CE9A50" w14:textId="40E67591" w:rsidR="009C5363" w:rsidRDefault="009C5363" w:rsidP="00280C35">
      <w:pPr>
        <w:pStyle w:val="FootnoteText"/>
        <w:ind w:left="720" w:hanging="720"/>
        <w:rPr>
          <w:rFonts w:ascii="Times New Roman" w:hAnsi="Times New Roman" w:cs="Times New Roman"/>
        </w:rPr>
      </w:pPr>
      <w:r w:rsidRPr="009F35FF">
        <w:rPr>
          <w:rFonts w:ascii="Times New Roman" w:hAnsi="Times New Roman" w:cs="Times New Roman"/>
        </w:rPr>
        <w:t>Kim,</w:t>
      </w:r>
      <w:r w:rsidRPr="009C5363">
        <w:rPr>
          <w:rFonts w:ascii="Times New Roman" w:hAnsi="Times New Roman" w:cs="Times New Roman"/>
        </w:rPr>
        <w:t xml:space="preserve"> </w:t>
      </w:r>
      <w:proofErr w:type="spellStart"/>
      <w:r w:rsidRPr="009F35FF">
        <w:rPr>
          <w:rFonts w:ascii="Times New Roman" w:hAnsi="Times New Roman" w:cs="Times New Roman"/>
        </w:rPr>
        <w:t>Quee</w:t>
      </w:r>
      <w:proofErr w:type="spellEnd"/>
      <w:r w:rsidRPr="009F35FF">
        <w:rPr>
          <w:rFonts w:ascii="Times New Roman" w:hAnsi="Times New Roman" w:cs="Times New Roman"/>
        </w:rPr>
        <w:t>-Young</w:t>
      </w:r>
      <w:r>
        <w:rPr>
          <w:rFonts w:ascii="Times New Roman" w:hAnsi="Times New Roman" w:cs="Times New Roman"/>
        </w:rPr>
        <w:t>.</w:t>
      </w:r>
      <w:r w:rsidRPr="009F35FF">
        <w:rPr>
          <w:rFonts w:ascii="Times New Roman" w:hAnsi="Times New Roman" w:cs="Times New Roman"/>
        </w:rPr>
        <w:t xml:space="preserve"> “From Protest to Change of Regime: The 4-19 Revolt and The Fall of</w:t>
      </w:r>
      <w:r>
        <w:rPr>
          <w:rFonts w:ascii="Times New Roman" w:hAnsi="Times New Roman" w:cs="Times New Roman"/>
        </w:rPr>
        <w:t xml:space="preserve"> the Rhee Regime in South Korea.</w:t>
      </w:r>
      <w:r w:rsidRPr="009F35FF">
        <w:rPr>
          <w:rFonts w:ascii="Times New Roman" w:hAnsi="Times New Roman" w:cs="Times New Roman"/>
        </w:rPr>
        <w:t xml:space="preserve">” </w:t>
      </w:r>
      <w:r w:rsidRPr="009F35FF">
        <w:rPr>
          <w:rFonts w:ascii="Times New Roman" w:hAnsi="Times New Roman" w:cs="Times New Roman"/>
          <w:i/>
        </w:rPr>
        <w:t>Social Forces</w:t>
      </w:r>
      <w:r>
        <w:rPr>
          <w:rFonts w:ascii="Times New Roman" w:hAnsi="Times New Roman" w:cs="Times New Roman"/>
        </w:rPr>
        <w:t xml:space="preserve"> 74 no. 4 (1996): 1179-1209.</w:t>
      </w:r>
    </w:p>
    <w:p w14:paraId="0B92797A" w14:textId="77777777" w:rsidR="00801940" w:rsidRDefault="00801940" w:rsidP="00280C35">
      <w:pPr>
        <w:pStyle w:val="FootnoteText"/>
        <w:ind w:left="720" w:hanging="720"/>
        <w:rPr>
          <w:rFonts w:ascii="Times New Roman" w:hAnsi="Times New Roman" w:cs="Times New Roman"/>
        </w:rPr>
      </w:pPr>
    </w:p>
    <w:p w14:paraId="0CED551E" w14:textId="448D2415" w:rsidR="0025220A" w:rsidRDefault="0025220A" w:rsidP="00280C35">
      <w:pPr>
        <w:pStyle w:val="FootnoteText"/>
        <w:ind w:left="720" w:hanging="720"/>
        <w:rPr>
          <w:rFonts w:ascii="Times New Roman" w:hAnsi="Times New Roman" w:cs="Times New Roman"/>
        </w:rPr>
      </w:pPr>
      <w:r w:rsidRPr="009F35FF">
        <w:rPr>
          <w:rFonts w:ascii="Times New Roman" w:hAnsi="Times New Roman" w:cs="Times New Roman"/>
        </w:rPr>
        <w:t>Kor</w:t>
      </w:r>
      <w:r>
        <w:rPr>
          <w:rFonts w:ascii="Times New Roman" w:hAnsi="Times New Roman" w:cs="Times New Roman"/>
        </w:rPr>
        <w:t>ea Overseas Information Service.</w:t>
      </w:r>
      <w:r w:rsidRPr="009F35FF">
        <w:rPr>
          <w:rFonts w:ascii="Times New Roman" w:hAnsi="Times New Roman" w:cs="Times New Roman"/>
        </w:rPr>
        <w:t xml:space="preserve"> </w:t>
      </w:r>
      <w:r w:rsidRPr="009F35FF">
        <w:rPr>
          <w:rFonts w:ascii="Times New Roman" w:hAnsi="Times New Roman" w:cs="Times New Roman"/>
          <w:i/>
        </w:rPr>
        <w:t>Focus on Korea: Korean Arts and Culture</w:t>
      </w:r>
      <w:r>
        <w:rPr>
          <w:rFonts w:ascii="Times New Roman" w:hAnsi="Times New Roman" w:cs="Times New Roman"/>
        </w:rPr>
        <w:t xml:space="preserve">. </w:t>
      </w:r>
      <w:r w:rsidRPr="009F35FF">
        <w:rPr>
          <w:rFonts w:ascii="Times New Roman" w:hAnsi="Times New Roman" w:cs="Times New Roman"/>
        </w:rPr>
        <w:t>Seoul: Seoul Intern</w:t>
      </w:r>
      <w:r>
        <w:rPr>
          <w:rFonts w:ascii="Times New Roman" w:hAnsi="Times New Roman" w:cs="Times New Roman"/>
        </w:rPr>
        <w:t>ational Publishing House, 1986</w:t>
      </w:r>
      <w:r w:rsidRPr="009F35FF">
        <w:rPr>
          <w:rFonts w:ascii="Times New Roman" w:hAnsi="Times New Roman" w:cs="Times New Roman"/>
        </w:rPr>
        <w:t>.</w:t>
      </w:r>
    </w:p>
    <w:p w14:paraId="0D4B040E" w14:textId="77777777" w:rsidR="00801940" w:rsidRDefault="00801940" w:rsidP="00280C35">
      <w:pPr>
        <w:pStyle w:val="FootnoteText"/>
        <w:ind w:left="720" w:hanging="720"/>
        <w:rPr>
          <w:rFonts w:ascii="Times New Roman" w:hAnsi="Times New Roman" w:cs="Times New Roman"/>
        </w:rPr>
      </w:pPr>
    </w:p>
    <w:p w14:paraId="1236D413" w14:textId="60E1EFA5" w:rsidR="00603229" w:rsidRDefault="00603229" w:rsidP="00280C35">
      <w:pPr>
        <w:pStyle w:val="FootnoteText"/>
        <w:ind w:left="720" w:hanging="720"/>
        <w:rPr>
          <w:rFonts w:ascii="Times New Roman" w:hAnsi="Times New Roman" w:cs="Times New Roman"/>
        </w:rPr>
      </w:pPr>
      <w:proofErr w:type="spellStart"/>
      <w:r w:rsidRPr="00AB383B">
        <w:rPr>
          <w:rFonts w:ascii="Times New Roman" w:hAnsi="Times New Roman" w:cs="Times New Roman"/>
        </w:rPr>
        <w:t>Kyo</w:t>
      </w:r>
      <w:proofErr w:type="spellEnd"/>
      <w:r w:rsidRPr="00AB383B">
        <w:rPr>
          <w:rFonts w:ascii="Times New Roman" w:hAnsi="Times New Roman" w:cs="Times New Roman"/>
        </w:rPr>
        <w:t>-Kim,</w:t>
      </w:r>
      <w:r w:rsidRPr="00603229">
        <w:rPr>
          <w:rFonts w:ascii="Times New Roman" w:hAnsi="Times New Roman" w:cs="Times New Roman"/>
        </w:rPr>
        <w:t xml:space="preserve"> </w:t>
      </w:r>
      <w:r w:rsidRPr="00AB383B">
        <w:rPr>
          <w:rFonts w:ascii="Times New Roman" w:hAnsi="Times New Roman" w:cs="Times New Roman"/>
        </w:rPr>
        <w:t>Han</w:t>
      </w:r>
      <w:r>
        <w:rPr>
          <w:rFonts w:ascii="Times New Roman" w:hAnsi="Times New Roman" w:cs="Times New Roman"/>
        </w:rPr>
        <w:t>.</w:t>
      </w:r>
      <w:r w:rsidRPr="00AB383B">
        <w:rPr>
          <w:rFonts w:ascii="Times New Roman" w:hAnsi="Times New Roman" w:cs="Times New Roman"/>
        </w:rPr>
        <w:t xml:space="preserve"> “The Declaration of Independence, M</w:t>
      </w:r>
      <w:r>
        <w:rPr>
          <w:rFonts w:ascii="Times New Roman" w:hAnsi="Times New Roman" w:cs="Times New Roman"/>
        </w:rPr>
        <w:t>arch 1, 1919: A New Translation.</w:t>
      </w:r>
      <w:r w:rsidRPr="00AB383B">
        <w:rPr>
          <w:rFonts w:ascii="Times New Roman" w:hAnsi="Times New Roman" w:cs="Times New Roman"/>
        </w:rPr>
        <w:t xml:space="preserve">” </w:t>
      </w:r>
      <w:r w:rsidRPr="00AB383B">
        <w:rPr>
          <w:rFonts w:ascii="Times New Roman" w:hAnsi="Times New Roman" w:cs="Times New Roman"/>
          <w:i/>
        </w:rPr>
        <w:t>Korean Studies</w:t>
      </w:r>
      <w:r>
        <w:rPr>
          <w:rFonts w:ascii="Times New Roman" w:hAnsi="Times New Roman" w:cs="Times New Roman"/>
        </w:rPr>
        <w:t xml:space="preserve"> 13 (1989): 1-4.</w:t>
      </w:r>
    </w:p>
    <w:p w14:paraId="11E7528C" w14:textId="77777777" w:rsidR="00801940" w:rsidRDefault="00801940" w:rsidP="00280C35">
      <w:pPr>
        <w:pStyle w:val="FootnoteText"/>
        <w:ind w:left="720" w:hanging="720"/>
        <w:rPr>
          <w:rFonts w:ascii="Times New Roman" w:hAnsi="Times New Roman" w:cs="Times New Roman"/>
        </w:rPr>
      </w:pPr>
    </w:p>
    <w:p w14:paraId="444FC013" w14:textId="282CD00D" w:rsidR="00AA0B29" w:rsidRDefault="00AA0B29" w:rsidP="00280C35">
      <w:pPr>
        <w:pStyle w:val="FootnoteText"/>
        <w:ind w:left="720" w:hanging="720"/>
        <w:rPr>
          <w:rFonts w:ascii="Times New Roman" w:hAnsi="Times New Roman" w:cs="Times New Roman"/>
        </w:rPr>
      </w:pPr>
      <w:r w:rsidRPr="009F35FF">
        <w:rPr>
          <w:rFonts w:ascii="Times New Roman" w:hAnsi="Times New Roman" w:cs="Times New Roman"/>
        </w:rPr>
        <w:lastRenderedPageBreak/>
        <w:t>Lee,</w:t>
      </w:r>
      <w:r w:rsidRPr="00AA0B29">
        <w:rPr>
          <w:rFonts w:ascii="Times New Roman" w:hAnsi="Times New Roman" w:cs="Times New Roman"/>
        </w:rPr>
        <w:t xml:space="preserve"> </w:t>
      </w:r>
      <w:r w:rsidRPr="009F35FF">
        <w:rPr>
          <w:rFonts w:ascii="Times New Roman" w:hAnsi="Times New Roman" w:cs="Times New Roman"/>
        </w:rPr>
        <w:t>Katherine In-Young</w:t>
      </w:r>
      <w:r>
        <w:rPr>
          <w:rFonts w:ascii="Times New Roman" w:hAnsi="Times New Roman" w:cs="Times New Roman"/>
        </w:rPr>
        <w:t>.</w:t>
      </w:r>
      <w:r w:rsidRPr="009F35FF">
        <w:rPr>
          <w:rFonts w:ascii="Times New Roman" w:hAnsi="Times New Roman" w:cs="Times New Roman"/>
        </w:rPr>
        <w:t xml:space="preserve"> “The Drumming of Dissent during South K</w:t>
      </w:r>
      <w:r>
        <w:rPr>
          <w:rFonts w:ascii="Times New Roman" w:hAnsi="Times New Roman" w:cs="Times New Roman"/>
        </w:rPr>
        <w:t>orea’s Democratization Movement.</w:t>
      </w:r>
      <w:r w:rsidRPr="009F35FF">
        <w:rPr>
          <w:rFonts w:ascii="Times New Roman" w:hAnsi="Times New Roman" w:cs="Times New Roman"/>
        </w:rPr>
        <w:t xml:space="preserve">” </w:t>
      </w:r>
      <w:r w:rsidRPr="009F35FF">
        <w:rPr>
          <w:rFonts w:ascii="Times New Roman" w:hAnsi="Times New Roman" w:cs="Times New Roman"/>
          <w:i/>
        </w:rPr>
        <w:t>Ethnomusicology</w:t>
      </w:r>
      <w:r w:rsidRPr="009F35FF">
        <w:rPr>
          <w:rFonts w:ascii="Times New Roman" w:hAnsi="Times New Roman" w:cs="Times New Roman"/>
        </w:rPr>
        <w:t xml:space="preserve"> 56 no. 2 (2012):</w:t>
      </w:r>
      <w:r>
        <w:rPr>
          <w:rFonts w:ascii="Times New Roman" w:hAnsi="Times New Roman" w:cs="Times New Roman"/>
        </w:rPr>
        <w:t xml:space="preserve"> 179-205</w:t>
      </w:r>
      <w:r w:rsidRPr="009F35FF">
        <w:rPr>
          <w:rFonts w:ascii="Times New Roman" w:hAnsi="Times New Roman" w:cs="Times New Roman"/>
        </w:rPr>
        <w:t>.</w:t>
      </w:r>
    </w:p>
    <w:p w14:paraId="725686F2" w14:textId="77777777" w:rsidR="00801940" w:rsidRDefault="00801940" w:rsidP="00280C35">
      <w:pPr>
        <w:pStyle w:val="FootnoteText"/>
        <w:ind w:left="720" w:hanging="720"/>
        <w:rPr>
          <w:rFonts w:ascii="Times New Roman" w:hAnsi="Times New Roman" w:cs="Times New Roman"/>
        </w:rPr>
      </w:pPr>
    </w:p>
    <w:p w14:paraId="02FB26B7" w14:textId="6EB9208C" w:rsidR="00A03C3C" w:rsidRDefault="00A03C3C" w:rsidP="00280C35">
      <w:pPr>
        <w:pStyle w:val="FootnoteText"/>
        <w:ind w:left="720" w:hanging="720"/>
        <w:rPr>
          <w:rFonts w:ascii="Times New Roman" w:hAnsi="Times New Roman" w:cs="Times New Roman"/>
        </w:rPr>
      </w:pPr>
      <w:r w:rsidRPr="009F35FF">
        <w:rPr>
          <w:rFonts w:ascii="Times New Roman" w:hAnsi="Times New Roman" w:cs="Times New Roman"/>
        </w:rPr>
        <w:t>Lee Kwon,</w:t>
      </w:r>
      <w:r w:rsidRPr="00A03C3C">
        <w:rPr>
          <w:rFonts w:ascii="Times New Roman" w:hAnsi="Times New Roman" w:cs="Times New Roman"/>
        </w:rPr>
        <w:t xml:space="preserve"> </w:t>
      </w:r>
      <w:r w:rsidRPr="009F35FF">
        <w:rPr>
          <w:rFonts w:ascii="Times New Roman" w:hAnsi="Times New Roman" w:cs="Times New Roman"/>
        </w:rPr>
        <w:t>Donna</w:t>
      </w:r>
      <w:r>
        <w:rPr>
          <w:rFonts w:ascii="Times New Roman" w:hAnsi="Times New Roman" w:cs="Times New Roman"/>
        </w:rPr>
        <w:t>.</w:t>
      </w:r>
      <w:r w:rsidRPr="009F35FF">
        <w:rPr>
          <w:rFonts w:ascii="Times New Roman" w:hAnsi="Times New Roman" w:cs="Times New Roman"/>
        </w:rPr>
        <w:t xml:space="preserve"> </w:t>
      </w:r>
      <w:r w:rsidRPr="009F35FF">
        <w:rPr>
          <w:rFonts w:ascii="Times New Roman" w:hAnsi="Times New Roman" w:cs="Times New Roman"/>
          <w:i/>
        </w:rPr>
        <w:t>Music in Korea: Experiencing Music, Expressing Culture</w:t>
      </w:r>
      <w:r>
        <w:rPr>
          <w:rFonts w:ascii="Times New Roman" w:hAnsi="Times New Roman" w:cs="Times New Roman"/>
        </w:rPr>
        <w:t xml:space="preserve">. </w:t>
      </w:r>
      <w:r w:rsidRPr="009F35FF">
        <w:rPr>
          <w:rFonts w:ascii="Times New Roman" w:hAnsi="Times New Roman" w:cs="Times New Roman"/>
        </w:rPr>
        <w:t>New York</w:t>
      </w:r>
      <w:r>
        <w:rPr>
          <w:rFonts w:ascii="Times New Roman" w:hAnsi="Times New Roman" w:cs="Times New Roman"/>
        </w:rPr>
        <w:t xml:space="preserve">: Oxford </w:t>
      </w:r>
      <w:proofErr w:type="spellStart"/>
      <w:r>
        <w:rPr>
          <w:rFonts w:ascii="Times New Roman" w:hAnsi="Times New Roman" w:cs="Times New Roman"/>
        </w:rPr>
        <w:t>Univeristy</w:t>
      </w:r>
      <w:proofErr w:type="spellEnd"/>
      <w:r>
        <w:rPr>
          <w:rFonts w:ascii="Times New Roman" w:hAnsi="Times New Roman" w:cs="Times New Roman"/>
        </w:rPr>
        <w:t xml:space="preserve"> Press, 2012.</w:t>
      </w:r>
    </w:p>
    <w:p w14:paraId="7C83D3B1" w14:textId="77777777" w:rsidR="00801940" w:rsidRDefault="00801940" w:rsidP="00280C35">
      <w:pPr>
        <w:pStyle w:val="FootnoteText"/>
        <w:ind w:left="720" w:hanging="720"/>
        <w:rPr>
          <w:rFonts w:ascii="Times New Roman" w:hAnsi="Times New Roman" w:cs="Times New Roman"/>
        </w:rPr>
      </w:pPr>
    </w:p>
    <w:p w14:paraId="11C72825" w14:textId="37A2052F" w:rsidR="00502EBF" w:rsidRDefault="00502EBF" w:rsidP="00280C35">
      <w:pPr>
        <w:pStyle w:val="FootnoteText"/>
        <w:ind w:left="720" w:hanging="720"/>
        <w:rPr>
          <w:rFonts w:ascii="Times New Roman" w:hAnsi="Times New Roman" w:cs="Times New Roman"/>
        </w:rPr>
      </w:pPr>
      <w:r w:rsidRPr="009F35FF">
        <w:rPr>
          <w:rFonts w:ascii="Times New Roman" w:hAnsi="Times New Roman" w:cs="Times New Roman"/>
        </w:rPr>
        <w:t>Lee,</w:t>
      </w:r>
      <w:r w:rsidRPr="00502EBF">
        <w:rPr>
          <w:rFonts w:ascii="Times New Roman" w:hAnsi="Times New Roman" w:cs="Times New Roman"/>
        </w:rPr>
        <w:t xml:space="preserve"> </w:t>
      </w:r>
      <w:proofErr w:type="spellStart"/>
      <w:r w:rsidRPr="009F35FF">
        <w:rPr>
          <w:rFonts w:ascii="Times New Roman" w:hAnsi="Times New Roman" w:cs="Times New Roman"/>
        </w:rPr>
        <w:t>Namhee</w:t>
      </w:r>
      <w:proofErr w:type="spellEnd"/>
      <w:r>
        <w:rPr>
          <w:rFonts w:ascii="Times New Roman" w:hAnsi="Times New Roman" w:cs="Times New Roman"/>
        </w:rPr>
        <w:t>.</w:t>
      </w:r>
      <w:r w:rsidRPr="009F35FF">
        <w:rPr>
          <w:rFonts w:ascii="Times New Roman" w:hAnsi="Times New Roman" w:cs="Times New Roman"/>
        </w:rPr>
        <w:t xml:space="preserve"> </w:t>
      </w:r>
      <w:r w:rsidRPr="009F35FF">
        <w:rPr>
          <w:rFonts w:ascii="Times New Roman" w:hAnsi="Times New Roman" w:cs="Times New Roman"/>
          <w:i/>
        </w:rPr>
        <w:t xml:space="preserve">The Making of </w:t>
      </w:r>
      <w:proofErr w:type="spellStart"/>
      <w:r w:rsidRPr="009F35FF">
        <w:rPr>
          <w:rFonts w:ascii="Times New Roman" w:hAnsi="Times New Roman" w:cs="Times New Roman"/>
          <w:i/>
        </w:rPr>
        <w:t>Minjung</w:t>
      </w:r>
      <w:proofErr w:type="spellEnd"/>
      <w:r w:rsidRPr="009F35FF">
        <w:rPr>
          <w:rFonts w:ascii="Times New Roman" w:hAnsi="Times New Roman" w:cs="Times New Roman"/>
          <w:i/>
        </w:rPr>
        <w:t>: Democracy and the Politics of Representation in South Korea</w:t>
      </w:r>
      <w:r>
        <w:rPr>
          <w:rFonts w:ascii="Times New Roman" w:hAnsi="Times New Roman" w:cs="Times New Roman"/>
        </w:rPr>
        <w:t xml:space="preserve">. </w:t>
      </w:r>
      <w:r w:rsidRPr="009F35FF">
        <w:rPr>
          <w:rFonts w:ascii="Times New Roman" w:hAnsi="Times New Roman" w:cs="Times New Roman"/>
        </w:rPr>
        <w:t xml:space="preserve">Ithaca: </w:t>
      </w:r>
      <w:r>
        <w:rPr>
          <w:rFonts w:ascii="Times New Roman" w:hAnsi="Times New Roman" w:cs="Times New Roman"/>
        </w:rPr>
        <w:t>Cornell University Press, 2007</w:t>
      </w:r>
      <w:r w:rsidRPr="009F35FF">
        <w:rPr>
          <w:rFonts w:ascii="Times New Roman" w:hAnsi="Times New Roman" w:cs="Times New Roman"/>
        </w:rPr>
        <w:t>.</w:t>
      </w:r>
    </w:p>
    <w:p w14:paraId="685D2F26" w14:textId="77777777" w:rsidR="00801940" w:rsidRDefault="00801940" w:rsidP="00280C35">
      <w:pPr>
        <w:pStyle w:val="FootnoteText"/>
        <w:ind w:left="720" w:hanging="720"/>
        <w:rPr>
          <w:rFonts w:ascii="Times New Roman" w:hAnsi="Times New Roman" w:cs="Times New Roman"/>
        </w:rPr>
      </w:pPr>
    </w:p>
    <w:p w14:paraId="2AD6E812" w14:textId="3C545EF5" w:rsidR="007835FF" w:rsidRDefault="007835FF" w:rsidP="00280C35">
      <w:pPr>
        <w:pStyle w:val="FootnoteText"/>
        <w:ind w:left="720" w:hanging="720"/>
        <w:rPr>
          <w:rFonts w:ascii="Times New Roman" w:hAnsi="Times New Roman" w:cs="Times New Roman"/>
        </w:rPr>
      </w:pPr>
      <w:r w:rsidRPr="00AC639C">
        <w:rPr>
          <w:rFonts w:ascii="Times New Roman" w:hAnsi="Times New Roman" w:cs="Times New Roman"/>
        </w:rPr>
        <w:t>Lee,</w:t>
      </w:r>
      <w:r w:rsidRPr="007835FF">
        <w:rPr>
          <w:rFonts w:ascii="Times New Roman" w:hAnsi="Times New Roman" w:cs="Times New Roman"/>
        </w:rPr>
        <w:t xml:space="preserve"> </w:t>
      </w:r>
      <w:r>
        <w:rPr>
          <w:rFonts w:ascii="Times New Roman" w:hAnsi="Times New Roman" w:cs="Times New Roman"/>
        </w:rPr>
        <w:t>Peter H.</w:t>
      </w:r>
      <w:r w:rsidRPr="00AC639C">
        <w:rPr>
          <w:rFonts w:ascii="Times New Roman" w:hAnsi="Times New Roman" w:cs="Times New Roman"/>
        </w:rPr>
        <w:t xml:space="preserve"> </w:t>
      </w:r>
      <w:r w:rsidRPr="00AC639C">
        <w:rPr>
          <w:rFonts w:ascii="Times New Roman" w:hAnsi="Times New Roman" w:cs="Times New Roman"/>
          <w:i/>
        </w:rPr>
        <w:t>Anthology of Korean Literature: From Early Time to the Nineteenth Century</w:t>
      </w:r>
      <w:r>
        <w:rPr>
          <w:rFonts w:ascii="Times New Roman" w:hAnsi="Times New Roman" w:cs="Times New Roman"/>
        </w:rPr>
        <w:t xml:space="preserve">. </w:t>
      </w:r>
      <w:r w:rsidRPr="00AC639C">
        <w:rPr>
          <w:rFonts w:ascii="Times New Roman" w:hAnsi="Times New Roman" w:cs="Times New Roman"/>
        </w:rPr>
        <w:t>Honolulu: Univers</w:t>
      </w:r>
      <w:r>
        <w:rPr>
          <w:rFonts w:ascii="Times New Roman" w:hAnsi="Times New Roman" w:cs="Times New Roman"/>
        </w:rPr>
        <w:t>ity of Hawai’i Press, 1981</w:t>
      </w:r>
      <w:r w:rsidRPr="00AC639C">
        <w:rPr>
          <w:rFonts w:ascii="Times New Roman" w:hAnsi="Times New Roman" w:cs="Times New Roman"/>
        </w:rPr>
        <w:t>.</w:t>
      </w:r>
    </w:p>
    <w:p w14:paraId="59E6BCC3" w14:textId="77777777" w:rsidR="00801940" w:rsidRDefault="00801940" w:rsidP="00280C35">
      <w:pPr>
        <w:pStyle w:val="FootnoteText"/>
        <w:ind w:left="720" w:hanging="720"/>
        <w:rPr>
          <w:rFonts w:ascii="Times New Roman" w:hAnsi="Times New Roman" w:cs="Times New Roman"/>
        </w:rPr>
      </w:pPr>
    </w:p>
    <w:p w14:paraId="6EE3C0F4" w14:textId="071B4CF8" w:rsidR="008D28F1" w:rsidRDefault="008D28F1" w:rsidP="00280C35">
      <w:pPr>
        <w:pStyle w:val="FootnoteText"/>
        <w:ind w:left="720" w:hanging="720"/>
        <w:rPr>
          <w:rFonts w:ascii="Times New Roman" w:hAnsi="Times New Roman" w:cs="Times New Roman"/>
        </w:rPr>
      </w:pPr>
      <w:r w:rsidRPr="00AC639C">
        <w:rPr>
          <w:rFonts w:ascii="Times New Roman" w:hAnsi="Times New Roman" w:cs="Times New Roman"/>
        </w:rPr>
        <w:t>Lee,</w:t>
      </w:r>
      <w:r w:rsidRPr="008D28F1">
        <w:rPr>
          <w:rFonts w:ascii="Times New Roman" w:hAnsi="Times New Roman" w:cs="Times New Roman"/>
        </w:rPr>
        <w:t xml:space="preserve"> </w:t>
      </w:r>
      <w:proofErr w:type="spellStart"/>
      <w:r w:rsidRPr="00AC639C">
        <w:rPr>
          <w:rFonts w:ascii="Times New Roman" w:hAnsi="Times New Roman" w:cs="Times New Roman"/>
        </w:rPr>
        <w:t>Seung</w:t>
      </w:r>
      <w:proofErr w:type="spellEnd"/>
      <w:r w:rsidRPr="00AC639C">
        <w:rPr>
          <w:rFonts w:ascii="Times New Roman" w:hAnsi="Times New Roman" w:cs="Times New Roman"/>
        </w:rPr>
        <w:t>-Ah</w:t>
      </w:r>
      <w:r>
        <w:rPr>
          <w:rFonts w:ascii="Times New Roman" w:hAnsi="Times New Roman" w:cs="Times New Roman"/>
        </w:rPr>
        <w:t>.</w:t>
      </w:r>
      <w:r w:rsidRPr="00AC639C">
        <w:rPr>
          <w:rFonts w:ascii="Times New Roman" w:hAnsi="Times New Roman" w:cs="Times New Roman"/>
        </w:rPr>
        <w:t xml:space="preserve"> “</w:t>
      </w:r>
      <w:proofErr w:type="spellStart"/>
      <w:r w:rsidRPr="00AC639C">
        <w:rPr>
          <w:rFonts w:ascii="Times New Roman" w:hAnsi="Times New Roman" w:cs="Times New Roman"/>
        </w:rPr>
        <w:t>Chōng</w:t>
      </w:r>
      <w:proofErr w:type="spellEnd"/>
      <w:r w:rsidRPr="00AC639C">
        <w:rPr>
          <w:rFonts w:ascii="Times New Roman" w:hAnsi="Times New Roman" w:cs="Times New Roman"/>
        </w:rPr>
        <w:t xml:space="preserve"> </w:t>
      </w:r>
      <w:proofErr w:type="spellStart"/>
      <w:r w:rsidRPr="00AC639C">
        <w:rPr>
          <w:rFonts w:ascii="Times New Roman" w:hAnsi="Times New Roman" w:cs="Times New Roman"/>
        </w:rPr>
        <w:t>Inbo</w:t>
      </w:r>
      <w:proofErr w:type="spellEnd"/>
      <w:r>
        <w:rPr>
          <w:rFonts w:ascii="Times New Roman" w:hAnsi="Times New Roman" w:cs="Times New Roman"/>
        </w:rPr>
        <w:t>.” I</w:t>
      </w:r>
      <w:r w:rsidRPr="00AC639C">
        <w:rPr>
          <w:rFonts w:ascii="Times New Roman" w:hAnsi="Times New Roman" w:cs="Times New Roman"/>
        </w:rPr>
        <w:t xml:space="preserve">n </w:t>
      </w:r>
      <w:r w:rsidRPr="00AC639C">
        <w:rPr>
          <w:rFonts w:ascii="Times New Roman" w:hAnsi="Times New Roman" w:cs="Times New Roman"/>
          <w:i/>
        </w:rPr>
        <w:t>Imperatives of Culture: Selected Essays on Korean History, Literature, and Society from the Japanese Colonial Era</w:t>
      </w:r>
      <w:r>
        <w:rPr>
          <w:rFonts w:ascii="Times New Roman" w:hAnsi="Times New Roman" w:cs="Times New Roman"/>
        </w:rPr>
        <w:t>. Edited by</w:t>
      </w:r>
      <w:r w:rsidRPr="00AC639C">
        <w:rPr>
          <w:rFonts w:ascii="Times New Roman" w:hAnsi="Times New Roman" w:cs="Times New Roman"/>
        </w:rPr>
        <w:t xml:space="preserve"> Christopher P. </w:t>
      </w:r>
      <w:proofErr w:type="spellStart"/>
      <w:r w:rsidRPr="00AC639C">
        <w:rPr>
          <w:rFonts w:ascii="Times New Roman" w:hAnsi="Times New Roman" w:cs="Times New Roman"/>
        </w:rPr>
        <w:t>Hanscom</w:t>
      </w:r>
      <w:proofErr w:type="spellEnd"/>
      <w:r w:rsidRPr="00AC639C">
        <w:rPr>
          <w:rFonts w:ascii="Times New Roman" w:hAnsi="Times New Roman" w:cs="Times New Roman"/>
        </w:rPr>
        <w:t xml:space="preserve">, Walter K. Lew, and </w:t>
      </w:r>
      <w:proofErr w:type="spellStart"/>
      <w:r w:rsidRPr="00AC639C">
        <w:rPr>
          <w:rFonts w:ascii="Times New Roman" w:hAnsi="Times New Roman" w:cs="Times New Roman"/>
        </w:rPr>
        <w:t>Youngju</w:t>
      </w:r>
      <w:proofErr w:type="spellEnd"/>
      <w:r w:rsidRPr="00AC639C">
        <w:rPr>
          <w:rFonts w:ascii="Times New Roman" w:hAnsi="Times New Roman" w:cs="Times New Roman"/>
        </w:rPr>
        <w:t xml:space="preserve"> </w:t>
      </w:r>
      <w:proofErr w:type="spellStart"/>
      <w:r w:rsidRPr="00AC639C">
        <w:rPr>
          <w:rFonts w:ascii="Times New Roman" w:hAnsi="Times New Roman" w:cs="Times New Roman"/>
        </w:rPr>
        <w:t>Ryu</w:t>
      </w:r>
      <w:proofErr w:type="spellEnd"/>
      <w:r>
        <w:rPr>
          <w:rFonts w:ascii="Times New Roman" w:hAnsi="Times New Roman" w:cs="Times New Roman"/>
        </w:rPr>
        <w:t xml:space="preserve">. </w:t>
      </w:r>
      <w:r w:rsidRPr="00AC639C">
        <w:rPr>
          <w:rFonts w:ascii="Times New Roman" w:hAnsi="Times New Roman" w:cs="Times New Roman"/>
        </w:rPr>
        <w:t>Honolulu: Univer</w:t>
      </w:r>
      <w:r w:rsidR="00E91B4F">
        <w:rPr>
          <w:rFonts w:ascii="Times New Roman" w:hAnsi="Times New Roman" w:cs="Times New Roman"/>
        </w:rPr>
        <w:t>sity of Hawai’i Press, 2013,</w:t>
      </w:r>
      <w:r w:rsidR="007835FF">
        <w:rPr>
          <w:rFonts w:ascii="Times New Roman" w:hAnsi="Times New Roman" w:cs="Times New Roman"/>
        </w:rPr>
        <w:t xml:space="preserve"> 88-103</w:t>
      </w:r>
      <w:r w:rsidRPr="00AC639C">
        <w:rPr>
          <w:rFonts w:ascii="Times New Roman" w:hAnsi="Times New Roman" w:cs="Times New Roman"/>
        </w:rPr>
        <w:t>.</w:t>
      </w:r>
    </w:p>
    <w:p w14:paraId="03E47DA1" w14:textId="77777777" w:rsidR="00801940" w:rsidRDefault="00801940" w:rsidP="00280C35">
      <w:pPr>
        <w:pStyle w:val="FootnoteText"/>
        <w:ind w:left="720" w:hanging="720"/>
        <w:rPr>
          <w:rFonts w:ascii="Times New Roman" w:hAnsi="Times New Roman" w:cs="Times New Roman"/>
        </w:rPr>
      </w:pPr>
    </w:p>
    <w:p w14:paraId="164CA83B" w14:textId="6F266BFA" w:rsidR="00BA67F6" w:rsidRDefault="00BA67F6" w:rsidP="00280C35">
      <w:pPr>
        <w:pStyle w:val="FootnoteText"/>
        <w:ind w:left="720" w:hanging="720"/>
        <w:rPr>
          <w:rFonts w:ascii="Times New Roman" w:hAnsi="Times New Roman" w:cs="Times New Roman"/>
        </w:rPr>
      </w:pPr>
      <w:r w:rsidRPr="009F35FF">
        <w:rPr>
          <w:rFonts w:ascii="Times New Roman" w:hAnsi="Times New Roman" w:cs="Times New Roman"/>
        </w:rPr>
        <w:t>Leith</w:t>
      </w:r>
      <w:r>
        <w:rPr>
          <w:rFonts w:ascii="Times New Roman" w:hAnsi="Times New Roman" w:cs="Times New Roman"/>
        </w:rPr>
        <w:t>,</w:t>
      </w:r>
      <w:r w:rsidRPr="009F35FF">
        <w:rPr>
          <w:rFonts w:ascii="Times New Roman" w:hAnsi="Times New Roman" w:cs="Times New Roman"/>
        </w:rPr>
        <w:t xml:space="preserve"> Murray Steward </w:t>
      </w:r>
      <w:r>
        <w:rPr>
          <w:rFonts w:ascii="Times New Roman" w:hAnsi="Times New Roman" w:cs="Times New Roman"/>
        </w:rPr>
        <w:t>and Daniel P. J. Soule.</w:t>
      </w:r>
      <w:r w:rsidRPr="009F35FF">
        <w:rPr>
          <w:rFonts w:ascii="Times New Roman" w:hAnsi="Times New Roman" w:cs="Times New Roman"/>
        </w:rPr>
        <w:t xml:space="preserve"> </w:t>
      </w:r>
      <w:r w:rsidRPr="009F35FF">
        <w:rPr>
          <w:rFonts w:ascii="Times New Roman" w:hAnsi="Times New Roman" w:cs="Times New Roman"/>
          <w:i/>
        </w:rPr>
        <w:t>Political Discourse</w:t>
      </w:r>
      <w:r>
        <w:rPr>
          <w:rFonts w:ascii="Times New Roman" w:hAnsi="Times New Roman" w:cs="Times New Roman"/>
          <w:i/>
        </w:rPr>
        <w:t xml:space="preserve"> and National Id</w:t>
      </w:r>
      <w:r w:rsidRPr="009F35FF">
        <w:rPr>
          <w:rFonts w:ascii="Times New Roman" w:hAnsi="Times New Roman" w:cs="Times New Roman"/>
          <w:i/>
        </w:rPr>
        <w:t>e</w:t>
      </w:r>
      <w:r>
        <w:rPr>
          <w:rFonts w:ascii="Times New Roman" w:hAnsi="Times New Roman" w:cs="Times New Roman"/>
          <w:i/>
        </w:rPr>
        <w:t>n</w:t>
      </w:r>
      <w:r w:rsidRPr="009F35FF">
        <w:rPr>
          <w:rFonts w:ascii="Times New Roman" w:hAnsi="Times New Roman" w:cs="Times New Roman"/>
          <w:i/>
        </w:rPr>
        <w:t>tity in Scotland</w:t>
      </w:r>
      <w:r>
        <w:rPr>
          <w:rFonts w:ascii="Times New Roman" w:hAnsi="Times New Roman" w:cs="Times New Roman"/>
        </w:rPr>
        <w:t xml:space="preserve">. </w:t>
      </w:r>
      <w:r w:rsidRPr="009F35FF">
        <w:rPr>
          <w:rFonts w:ascii="Times New Roman" w:hAnsi="Times New Roman" w:cs="Times New Roman"/>
        </w:rPr>
        <w:t>Edinburgh: Ed</w:t>
      </w:r>
      <w:r>
        <w:rPr>
          <w:rFonts w:ascii="Times New Roman" w:hAnsi="Times New Roman" w:cs="Times New Roman"/>
        </w:rPr>
        <w:t>inburgh University Press, 2011.</w:t>
      </w:r>
    </w:p>
    <w:p w14:paraId="6FB43578" w14:textId="77777777" w:rsidR="00801940" w:rsidRDefault="00801940" w:rsidP="00280C35">
      <w:pPr>
        <w:pStyle w:val="FootnoteText"/>
        <w:ind w:left="720" w:hanging="720"/>
        <w:rPr>
          <w:rFonts w:ascii="Times New Roman" w:hAnsi="Times New Roman" w:cs="Times New Roman"/>
        </w:rPr>
      </w:pPr>
    </w:p>
    <w:p w14:paraId="4CF240D9" w14:textId="71025146" w:rsidR="005A77C7" w:rsidRDefault="005A77C7" w:rsidP="00280C35">
      <w:pPr>
        <w:pStyle w:val="FootnoteText"/>
        <w:ind w:left="720" w:hanging="720"/>
        <w:rPr>
          <w:rFonts w:ascii="Times New Roman" w:hAnsi="Times New Roman" w:cs="Times New Roman"/>
        </w:rPr>
      </w:pPr>
      <w:proofErr w:type="spellStart"/>
      <w:r w:rsidRPr="009F35FF">
        <w:rPr>
          <w:rFonts w:ascii="Times New Roman" w:hAnsi="Times New Roman" w:cs="Times New Roman"/>
        </w:rPr>
        <w:t>MacCormick</w:t>
      </w:r>
      <w:proofErr w:type="spellEnd"/>
      <w:r w:rsidRPr="009F35FF">
        <w:rPr>
          <w:rFonts w:ascii="Times New Roman" w:hAnsi="Times New Roman" w:cs="Times New Roman"/>
        </w:rPr>
        <w:t>, John MacDonald</w:t>
      </w:r>
      <w:r>
        <w:rPr>
          <w:rFonts w:ascii="Times New Roman" w:hAnsi="Times New Roman" w:cs="Times New Roman"/>
        </w:rPr>
        <w:t>.</w:t>
      </w:r>
      <w:r w:rsidRPr="009F35FF">
        <w:rPr>
          <w:rFonts w:ascii="Times New Roman" w:hAnsi="Times New Roman" w:cs="Times New Roman"/>
        </w:rPr>
        <w:t xml:space="preserve"> </w:t>
      </w:r>
      <w:r w:rsidRPr="009F35FF">
        <w:rPr>
          <w:rFonts w:ascii="Times New Roman" w:hAnsi="Times New Roman" w:cs="Times New Roman"/>
          <w:i/>
        </w:rPr>
        <w:t>Flag in the Wind: The Story of the National Movement in Scotland</w:t>
      </w:r>
      <w:r>
        <w:rPr>
          <w:rFonts w:ascii="Times New Roman" w:hAnsi="Times New Roman" w:cs="Times New Roman"/>
        </w:rPr>
        <w:t xml:space="preserve">. London: Victor Gollancz, </w:t>
      </w:r>
      <w:r w:rsidRPr="009F35FF">
        <w:rPr>
          <w:rFonts w:ascii="Times New Roman" w:hAnsi="Times New Roman" w:cs="Times New Roman"/>
        </w:rPr>
        <w:t>etc./The Camelot Press, 1955.</w:t>
      </w:r>
    </w:p>
    <w:p w14:paraId="6F742E55" w14:textId="77777777" w:rsidR="00801940" w:rsidRDefault="00801940" w:rsidP="00280C35">
      <w:pPr>
        <w:pStyle w:val="FootnoteText"/>
        <w:ind w:left="720" w:hanging="720"/>
        <w:rPr>
          <w:rFonts w:ascii="Times New Roman" w:hAnsi="Times New Roman" w:cs="Times New Roman"/>
        </w:rPr>
      </w:pPr>
    </w:p>
    <w:p w14:paraId="55DB3A08" w14:textId="6CDB6406" w:rsidR="003A0704" w:rsidRDefault="003A0704" w:rsidP="00280C35">
      <w:pPr>
        <w:pStyle w:val="FootnoteText"/>
        <w:ind w:left="720" w:hanging="720"/>
        <w:rPr>
          <w:rFonts w:ascii="Times New Roman" w:hAnsi="Times New Roman" w:cs="Times New Roman"/>
        </w:rPr>
      </w:pPr>
      <w:proofErr w:type="spellStart"/>
      <w:r w:rsidRPr="00AC639C">
        <w:rPr>
          <w:rFonts w:ascii="Times New Roman" w:hAnsi="Times New Roman" w:cs="Times New Roman"/>
        </w:rPr>
        <w:t>Maliangkay</w:t>
      </w:r>
      <w:proofErr w:type="spellEnd"/>
      <w:r w:rsidRPr="00AC639C">
        <w:rPr>
          <w:rFonts w:ascii="Times New Roman" w:hAnsi="Times New Roman" w:cs="Times New Roman"/>
        </w:rPr>
        <w:t>,</w:t>
      </w:r>
      <w:r w:rsidRPr="003A0704">
        <w:rPr>
          <w:rFonts w:ascii="Times New Roman" w:hAnsi="Times New Roman" w:cs="Times New Roman"/>
        </w:rPr>
        <w:t xml:space="preserve"> </w:t>
      </w:r>
      <w:r w:rsidRPr="00AC639C">
        <w:rPr>
          <w:rFonts w:ascii="Times New Roman" w:hAnsi="Times New Roman" w:cs="Times New Roman"/>
        </w:rPr>
        <w:t>Roald</w:t>
      </w:r>
      <w:r>
        <w:rPr>
          <w:rFonts w:ascii="Times New Roman" w:hAnsi="Times New Roman" w:cs="Times New Roman"/>
        </w:rPr>
        <w:t>.</w:t>
      </w:r>
      <w:r w:rsidRPr="00AC639C">
        <w:rPr>
          <w:rFonts w:ascii="Times New Roman" w:hAnsi="Times New Roman" w:cs="Times New Roman"/>
        </w:rPr>
        <w:t xml:space="preserve"> “The Revival of Folksongs in South </w:t>
      </w:r>
      <w:r>
        <w:rPr>
          <w:rFonts w:ascii="Times New Roman" w:hAnsi="Times New Roman" w:cs="Times New Roman"/>
        </w:rPr>
        <w:t>Korea: The Case of ‘</w:t>
      </w:r>
      <w:proofErr w:type="spellStart"/>
      <w:r>
        <w:rPr>
          <w:rFonts w:ascii="Times New Roman" w:hAnsi="Times New Roman" w:cs="Times New Roman"/>
        </w:rPr>
        <w:t>Tondollari</w:t>
      </w:r>
      <w:proofErr w:type="spellEnd"/>
      <w:r>
        <w:rPr>
          <w:rFonts w:ascii="Times New Roman" w:hAnsi="Times New Roman" w:cs="Times New Roman"/>
        </w:rPr>
        <w:t>’.” I</w:t>
      </w:r>
      <w:r w:rsidRPr="00AC639C">
        <w:rPr>
          <w:rFonts w:ascii="Times New Roman" w:hAnsi="Times New Roman" w:cs="Times New Roman"/>
        </w:rPr>
        <w:t xml:space="preserve">n </w:t>
      </w:r>
      <w:r w:rsidRPr="00AC639C">
        <w:rPr>
          <w:rFonts w:ascii="Times New Roman" w:hAnsi="Times New Roman" w:cs="Times New Roman"/>
          <w:i/>
        </w:rPr>
        <w:t>Asian Folklore Studies</w:t>
      </w:r>
      <w:r>
        <w:rPr>
          <w:rFonts w:ascii="Times New Roman" w:hAnsi="Times New Roman" w:cs="Times New Roman"/>
        </w:rPr>
        <w:t xml:space="preserve"> 61 no. 2 (2002): 223-245.</w:t>
      </w:r>
    </w:p>
    <w:p w14:paraId="572268E4" w14:textId="77777777" w:rsidR="00801940" w:rsidRDefault="00801940" w:rsidP="004363A9">
      <w:pPr>
        <w:pStyle w:val="FootnoteText"/>
        <w:rPr>
          <w:rFonts w:ascii="Times New Roman" w:hAnsi="Times New Roman" w:cs="Times New Roman"/>
        </w:rPr>
      </w:pPr>
    </w:p>
    <w:p w14:paraId="1BA9F607" w14:textId="3CBA1240" w:rsidR="004363A9" w:rsidRDefault="004363A9" w:rsidP="00801940">
      <w:pPr>
        <w:pStyle w:val="FootnoteText"/>
        <w:ind w:left="720" w:hanging="720"/>
        <w:rPr>
          <w:rFonts w:ascii="Times New Roman" w:hAnsi="Times New Roman" w:cs="Times New Roman"/>
        </w:rPr>
      </w:pPr>
      <w:r w:rsidRPr="009F35FF">
        <w:rPr>
          <w:rFonts w:ascii="Times New Roman" w:hAnsi="Times New Roman" w:cs="Times New Roman"/>
        </w:rPr>
        <w:t>McCarthy,</w:t>
      </w:r>
      <w:r w:rsidRPr="004363A9">
        <w:rPr>
          <w:rFonts w:ascii="Times New Roman" w:hAnsi="Times New Roman" w:cs="Times New Roman"/>
        </w:rPr>
        <w:t xml:space="preserve"> </w:t>
      </w:r>
      <w:r w:rsidRPr="009F35FF">
        <w:rPr>
          <w:rFonts w:ascii="Times New Roman" w:hAnsi="Times New Roman" w:cs="Times New Roman"/>
        </w:rPr>
        <w:t>Angela</w:t>
      </w:r>
      <w:r>
        <w:rPr>
          <w:rFonts w:ascii="Times New Roman" w:hAnsi="Times New Roman" w:cs="Times New Roman"/>
        </w:rPr>
        <w:t>.</w:t>
      </w:r>
      <w:r w:rsidRPr="009F35FF">
        <w:rPr>
          <w:rFonts w:ascii="Times New Roman" w:hAnsi="Times New Roman" w:cs="Times New Roman"/>
        </w:rPr>
        <w:t xml:space="preserve"> “National Identities and Twentieth-Century Scottish Migrants in England</w:t>
      </w:r>
      <w:r>
        <w:rPr>
          <w:rFonts w:ascii="Times New Roman" w:hAnsi="Times New Roman" w:cs="Times New Roman"/>
        </w:rPr>
        <w:t>.” I</w:t>
      </w:r>
      <w:r w:rsidRPr="009F35FF">
        <w:rPr>
          <w:rFonts w:ascii="Times New Roman" w:hAnsi="Times New Roman" w:cs="Times New Roman"/>
        </w:rPr>
        <w:t xml:space="preserve">n </w:t>
      </w:r>
      <w:r w:rsidRPr="009F35FF">
        <w:rPr>
          <w:rFonts w:ascii="Times New Roman" w:hAnsi="Times New Roman" w:cs="Times New Roman"/>
          <w:i/>
        </w:rPr>
        <w:t>Anglo-Scottish Relations from 1900 to Devolution and Beyond</w:t>
      </w:r>
      <w:r>
        <w:rPr>
          <w:rFonts w:ascii="Times New Roman" w:hAnsi="Times New Roman" w:cs="Times New Roman"/>
        </w:rPr>
        <w:t xml:space="preserve">. Edited by William L. Miller </w:t>
      </w:r>
      <w:r w:rsidRPr="009F35FF">
        <w:rPr>
          <w:rFonts w:ascii="Times New Roman" w:hAnsi="Times New Roman" w:cs="Times New Roman"/>
        </w:rPr>
        <w:t>Oxford</w:t>
      </w:r>
      <w:r>
        <w:rPr>
          <w:rFonts w:ascii="Times New Roman" w:hAnsi="Times New Roman" w:cs="Times New Roman"/>
        </w:rPr>
        <w:t>: Oxford University Press, 2005</w:t>
      </w:r>
      <w:r w:rsidRPr="009F35FF">
        <w:rPr>
          <w:rFonts w:ascii="Times New Roman" w:hAnsi="Times New Roman" w:cs="Times New Roman"/>
        </w:rPr>
        <w:t xml:space="preserve">, </w:t>
      </w:r>
      <w:r>
        <w:rPr>
          <w:rFonts w:ascii="Times New Roman" w:hAnsi="Times New Roman" w:cs="Times New Roman"/>
        </w:rPr>
        <w:t>171-182</w:t>
      </w:r>
      <w:r w:rsidRPr="009F35FF">
        <w:rPr>
          <w:rFonts w:ascii="Times New Roman" w:hAnsi="Times New Roman" w:cs="Times New Roman"/>
        </w:rPr>
        <w:t>.</w:t>
      </w:r>
    </w:p>
    <w:p w14:paraId="5E1ECFF6" w14:textId="77777777" w:rsidR="00801940" w:rsidRDefault="00801940" w:rsidP="00280C35">
      <w:pPr>
        <w:pStyle w:val="FootnoteText"/>
        <w:ind w:left="720" w:hanging="720"/>
        <w:rPr>
          <w:rFonts w:ascii="Times New Roman" w:hAnsi="Times New Roman" w:cs="Times New Roman"/>
        </w:rPr>
      </w:pPr>
    </w:p>
    <w:p w14:paraId="66C152DE" w14:textId="15384288" w:rsidR="00280C35" w:rsidRDefault="00280C35" w:rsidP="00280C35">
      <w:pPr>
        <w:pStyle w:val="FootnoteText"/>
        <w:ind w:left="720" w:hanging="720"/>
        <w:rPr>
          <w:rFonts w:ascii="Times New Roman" w:hAnsi="Times New Roman" w:cs="Times New Roman"/>
        </w:rPr>
      </w:pPr>
      <w:r w:rsidRPr="009F35FF">
        <w:rPr>
          <w:rFonts w:ascii="Times New Roman" w:hAnsi="Times New Roman" w:cs="Times New Roman"/>
        </w:rPr>
        <w:t>McCulloch,</w:t>
      </w:r>
      <w:r w:rsidRPr="00280C35">
        <w:rPr>
          <w:rFonts w:ascii="Times New Roman" w:hAnsi="Times New Roman" w:cs="Times New Roman"/>
        </w:rPr>
        <w:t xml:space="preserve"> </w:t>
      </w:r>
      <w:r w:rsidRPr="009F35FF">
        <w:rPr>
          <w:rFonts w:ascii="Times New Roman" w:hAnsi="Times New Roman" w:cs="Times New Roman"/>
        </w:rPr>
        <w:t>Margery Palmer</w:t>
      </w:r>
      <w:r>
        <w:rPr>
          <w:rFonts w:ascii="Times New Roman" w:hAnsi="Times New Roman" w:cs="Times New Roman"/>
        </w:rPr>
        <w:t>.</w:t>
      </w:r>
      <w:r w:rsidRPr="009F35FF">
        <w:rPr>
          <w:rFonts w:ascii="Times New Roman" w:hAnsi="Times New Roman" w:cs="Times New Roman"/>
        </w:rPr>
        <w:t xml:space="preserve"> </w:t>
      </w:r>
      <w:r w:rsidRPr="009F35FF">
        <w:rPr>
          <w:rFonts w:ascii="Times New Roman" w:hAnsi="Times New Roman" w:cs="Times New Roman"/>
          <w:i/>
        </w:rPr>
        <w:t>Scottish Modernism and its Contexts 1918-1959: Literature, National Identity and Cultural Exchange</w:t>
      </w:r>
      <w:r>
        <w:rPr>
          <w:rFonts w:ascii="Times New Roman" w:hAnsi="Times New Roman" w:cs="Times New Roman"/>
        </w:rPr>
        <w:t xml:space="preserve">. </w:t>
      </w:r>
      <w:r w:rsidRPr="009F35FF">
        <w:rPr>
          <w:rFonts w:ascii="Times New Roman" w:hAnsi="Times New Roman" w:cs="Times New Roman"/>
        </w:rPr>
        <w:t>Edinburgh: Ed</w:t>
      </w:r>
      <w:r>
        <w:rPr>
          <w:rFonts w:ascii="Times New Roman" w:hAnsi="Times New Roman" w:cs="Times New Roman"/>
        </w:rPr>
        <w:t>inburgh University Press, 2009.</w:t>
      </w:r>
    </w:p>
    <w:p w14:paraId="5F1D081A" w14:textId="77777777" w:rsidR="00801940" w:rsidRDefault="00801940" w:rsidP="005B1B4D">
      <w:pPr>
        <w:pStyle w:val="FootnoteText"/>
        <w:rPr>
          <w:rFonts w:ascii="Times New Roman" w:hAnsi="Times New Roman" w:cs="Times New Roman"/>
        </w:rPr>
      </w:pPr>
    </w:p>
    <w:p w14:paraId="3F26029D" w14:textId="0F349B40" w:rsidR="005B1B4D" w:rsidRDefault="005B1B4D" w:rsidP="00801940">
      <w:pPr>
        <w:pStyle w:val="FootnoteText"/>
        <w:ind w:left="720" w:hanging="720"/>
        <w:rPr>
          <w:rFonts w:ascii="Times New Roman" w:hAnsi="Times New Roman" w:cs="Times New Roman"/>
        </w:rPr>
      </w:pPr>
      <w:proofErr w:type="spellStart"/>
      <w:r w:rsidRPr="009F35FF">
        <w:rPr>
          <w:rFonts w:ascii="Times New Roman" w:hAnsi="Times New Roman" w:cs="Times New Roman"/>
        </w:rPr>
        <w:t>Meeusen</w:t>
      </w:r>
      <w:proofErr w:type="spellEnd"/>
      <w:r w:rsidRPr="009F35FF">
        <w:rPr>
          <w:rFonts w:ascii="Times New Roman" w:hAnsi="Times New Roman" w:cs="Times New Roman"/>
        </w:rPr>
        <w:t>,</w:t>
      </w:r>
      <w:r w:rsidRPr="005B1B4D">
        <w:rPr>
          <w:rFonts w:ascii="Times New Roman" w:hAnsi="Times New Roman" w:cs="Times New Roman"/>
        </w:rPr>
        <w:t xml:space="preserve"> </w:t>
      </w:r>
      <w:r w:rsidRPr="009F35FF">
        <w:rPr>
          <w:rFonts w:ascii="Times New Roman" w:hAnsi="Times New Roman" w:cs="Times New Roman"/>
        </w:rPr>
        <w:t>Cecil</w:t>
      </w:r>
      <w:r>
        <w:rPr>
          <w:rFonts w:ascii="Times New Roman" w:hAnsi="Times New Roman" w:cs="Times New Roman"/>
        </w:rPr>
        <w:t>,</w:t>
      </w:r>
      <w:r w:rsidRPr="009F35FF">
        <w:rPr>
          <w:rFonts w:ascii="Times New Roman" w:hAnsi="Times New Roman" w:cs="Times New Roman"/>
        </w:rPr>
        <w:t xml:space="preserve"> </w:t>
      </w:r>
      <w:proofErr w:type="spellStart"/>
      <w:r w:rsidRPr="009F35FF">
        <w:rPr>
          <w:rFonts w:ascii="Times New Roman" w:hAnsi="Times New Roman" w:cs="Times New Roman"/>
        </w:rPr>
        <w:t>Joris</w:t>
      </w:r>
      <w:proofErr w:type="spellEnd"/>
      <w:r w:rsidRPr="009F35FF">
        <w:rPr>
          <w:rFonts w:ascii="Times New Roman" w:hAnsi="Times New Roman" w:cs="Times New Roman"/>
        </w:rPr>
        <w:t xml:space="preserve"> B</w:t>
      </w:r>
      <w:r>
        <w:rPr>
          <w:rFonts w:ascii="Times New Roman" w:hAnsi="Times New Roman" w:cs="Times New Roman"/>
        </w:rPr>
        <w:t xml:space="preserve">oonen, and Ruther </w:t>
      </w:r>
      <w:proofErr w:type="spellStart"/>
      <w:r>
        <w:rPr>
          <w:rFonts w:ascii="Times New Roman" w:hAnsi="Times New Roman" w:cs="Times New Roman"/>
        </w:rPr>
        <w:t>Dassonneville</w:t>
      </w:r>
      <w:proofErr w:type="spellEnd"/>
      <w:r>
        <w:rPr>
          <w:rFonts w:ascii="Times New Roman" w:hAnsi="Times New Roman" w:cs="Times New Roman"/>
        </w:rPr>
        <w:t>.</w:t>
      </w:r>
      <w:r w:rsidRPr="009F35FF">
        <w:rPr>
          <w:rFonts w:ascii="Times New Roman" w:hAnsi="Times New Roman" w:cs="Times New Roman"/>
        </w:rPr>
        <w:t xml:space="preserve"> “The Structure of Prejudice and Its Relation to Party Preference in Belgium:</w:t>
      </w:r>
      <w:r>
        <w:rPr>
          <w:rFonts w:ascii="Times New Roman" w:hAnsi="Times New Roman" w:cs="Times New Roman"/>
        </w:rPr>
        <w:t xml:space="preserve"> Flanders and Wallonia Compared.</w:t>
      </w:r>
      <w:r w:rsidRPr="009F35FF">
        <w:rPr>
          <w:rFonts w:ascii="Times New Roman" w:hAnsi="Times New Roman" w:cs="Times New Roman"/>
        </w:rPr>
        <w:t xml:space="preserve">” </w:t>
      </w:r>
      <w:proofErr w:type="spellStart"/>
      <w:r w:rsidRPr="009F35FF">
        <w:rPr>
          <w:rFonts w:ascii="Times New Roman" w:hAnsi="Times New Roman" w:cs="Times New Roman"/>
          <w:i/>
        </w:rPr>
        <w:t>Psycologica</w:t>
      </w:r>
      <w:proofErr w:type="spellEnd"/>
      <w:r w:rsidRPr="009F35FF">
        <w:rPr>
          <w:rFonts w:ascii="Times New Roman" w:hAnsi="Times New Roman" w:cs="Times New Roman"/>
          <w:i/>
        </w:rPr>
        <w:t xml:space="preserve"> </w:t>
      </w:r>
      <w:proofErr w:type="spellStart"/>
      <w:r w:rsidRPr="009F35FF">
        <w:rPr>
          <w:rFonts w:ascii="Times New Roman" w:hAnsi="Times New Roman" w:cs="Times New Roman"/>
          <w:i/>
        </w:rPr>
        <w:t>Belgica</w:t>
      </w:r>
      <w:proofErr w:type="spellEnd"/>
      <w:r w:rsidRPr="009F35FF">
        <w:rPr>
          <w:rFonts w:ascii="Times New Roman" w:hAnsi="Times New Roman" w:cs="Times New Roman"/>
        </w:rPr>
        <w:t xml:space="preserve"> 57 no. 3 (2017):</w:t>
      </w:r>
      <w:r>
        <w:rPr>
          <w:rFonts w:ascii="Times New Roman" w:hAnsi="Times New Roman" w:cs="Times New Roman"/>
        </w:rPr>
        <w:t xml:space="preserve"> 52-74</w:t>
      </w:r>
      <w:r w:rsidRPr="009F35FF">
        <w:rPr>
          <w:rFonts w:ascii="Times New Roman" w:hAnsi="Times New Roman" w:cs="Times New Roman"/>
        </w:rPr>
        <w:t xml:space="preserve">. </w:t>
      </w:r>
    </w:p>
    <w:p w14:paraId="77CCB152" w14:textId="77777777" w:rsidR="00801940" w:rsidRDefault="00801940" w:rsidP="00280C35">
      <w:pPr>
        <w:pStyle w:val="FootnoteText"/>
        <w:ind w:left="720" w:hanging="720"/>
        <w:rPr>
          <w:rFonts w:ascii="Times New Roman" w:hAnsi="Times New Roman" w:cs="Times New Roman"/>
        </w:rPr>
      </w:pPr>
    </w:p>
    <w:p w14:paraId="232631B8" w14:textId="3CFE02E9" w:rsidR="001A0D87" w:rsidRDefault="001A0D87" w:rsidP="00280C35">
      <w:pPr>
        <w:pStyle w:val="FootnoteText"/>
        <w:ind w:left="720" w:hanging="720"/>
        <w:rPr>
          <w:rFonts w:ascii="Times New Roman" w:hAnsi="Times New Roman" w:cs="Times New Roman"/>
        </w:rPr>
      </w:pPr>
      <w:proofErr w:type="spellStart"/>
      <w:r w:rsidRPr="000E69D9">
        <w:rPr>
          <w:rFonts w:ascii="Times New Roman" w:hAnsi="Times New Roman" w:cs="Times New Roman"/>
        </w:rPr>
        <w:t>Meuleman</w:t>
      </w:r>
      <w:proofErr w:type="spellEnd"/>
      <w:r w:rsidRPr="000E69D9">
        <w:rPr>
          <w:rFonts w:ascii="Times New Roman" w:hAnsi="Times New Roman" w:cs="Times New Roman"/>
        </w:rPr>
        <w:t>,</w:t>
      </w:r>
      <w:r w:rsidRPr="001A0D87">
        <w:rPr>
          <w:rFonts w:ascii="Times New Roman" w:hAnsi="Times New Roman" w:cs="Times New Roman"/>
        </w:rPr>
        <w:t xml:space="preserve"> </w:t>
      </w:r>
      <w:r w:rsidRPr="000E69D9">
        <w:rPr>
          <w:rFonts w:ascii="Times New Roman" w:hAnsi="Times New Roman" w:cs="Times New Roman"/>
        </w:rPr>
        <w:t>Bart</w:t>
      </w:r>
      <w:r>
        <w:rPr>
          <w:rFonts w:ascii="Times New Roman" w:hAnsi="Times New Roman" w:cs="Times New Roman"/>
        </w:rPr>
        <w:t xml:space="preserve">, Koen </w:t>
      </w:r>
      <w:proofErr w:type="spellStart"/>
      <w:r>
        <w:rPr>
          <w:rFonts w:ascii="Times New Roman" w:hAnsi="Times New Roman" w:cs="Times New Roman"/>
        </w:rPr>
        <w:t>Abts</w:t>
      </w:r>
      <w:proofErr w:type="spellEnd"/>
      <w:r>
        <w:rPr>
          <w:rFonts w:ascii="Times New Roman" w:hAnsi="Times New Roman" w:cs="Times New Roman"/>
        </w:rPr>
        <w:t xml:space="preserve">, and Cecil </w:t>
      </w:r>
      <w:proofErr w:type="spellStart"/>
      <w:r>
        <w:rPr>
          <w:rFonts w:ascii="Times New Roman" w:hAnsi="Times New Roman" w:cs="Times New Roman"/>
        </w:rPr>
        <w:t>Meeusen</w:t>
      </w:r>
      <w:proofErr w:type="spellEnd"/>
      <w:r>
        <w:rPr>
          <w:rFonts w:ascii="Times New Roman" w:hAnsi="Times New Roman" w:cs="Times New Roman"/>
        </w:rPr>
        <w:t>.</w:t>
      </w:r>
      <w:r w:rsidRPr="000E69D9">
        <w:rPr>
          <w:rFonts w:ascii="Times New Roman" w:hAnsi="Times New Roman" w:cs="Times New Roman"/>
        </w:rPr>
        <w:t xml:space="preserve"> “Walloons as General or Specific Others? A Comparison of anti-Walloon and anti-immigrant Attitudes in Flanders</w:t>
      </w:r>
      <w:r>
        <w:rPr>
          <w:rFonts w:ascii="Times New Roman" w:hAnsi="Times New Roman" w:cs="Times New Roman"/>
        </w:rPr>
        <w:t>.</w:t>
      </w:r>
      <w:r w:rsidRPr="000E69D9">
        <w:rPr>
          <w:rFonts w:ascii="Times New Roman" w:hAnsi="Times New Roman" w:cs="Times New Roman"/>
        </w:rPr>
        <w:t xml:space="preserve">” </w:t>
      </w:r>
      <w:proofErr w:type="spellStart"/>
      <w:r w:rsidRPr="000E69D9">
        <w:rPr>
          <w:rFonts w:ascii="Times New Roman" w:hAnsi="Times New Roman" w:cs="Times New Roman"/>
          <w:i/>
        </w:rPr>
        <w:t>Psycologica</w:t>
      </w:r>
      <w:proofErr w:type="spellEnd"/>
      <w:r w:rsidRPr="000E69D9">
        <w:rPr>
          <w:rFonts w:ascii="Times New Roman" w:hAnsi="Times New Roman" w:cs="Times New Roman"/>
          <w:i/>
        </w:rPr>
        <w:t xml:space="preserve"> </w:t>
      </w:r>
      <w:proofErr w:type="spellStart"/>
      <w:r w:rsidRPr="000E69D9">
        <w:rPr>
          <w:rFonts w:ascii="Times New Roman" w:hAnsi="Times New Roman" w:cs="Times New Roman"/>
          <w:i/>
        </w:rPr>
        <w:t>Belgica</w:t>
      </w:r>
      <w:proofErr w:type="spellEnd"/>
      <w:r w:rsidRPr="000E69D9">
        <w:rPr>
          <w:rFonts w:ascii="Times New Roman" w:hAnsi="Times New Roman" w:cs="Times New Roman"/>
        </w:rPr>
        <w:t xml:space="preserve"> 57, no. 3 (2017):</w:t>
      </w:r>
      <w:r>
        <w:rPr>
          <w:rFonts w:ascii="Times New Roman" w:hAnsi="Times New Roman" w:cs="Times New Roman"/>
        </w:rPr>
        <w:t xml:space="preserve"> 75-97.</w:t>
      </w:r>
    </w:p>
    <w:p w14:paraId="02BB9BDE" w14:textId="77777777" w:rsidR="00801940" w:rsidRDefault="00801940" w:rsidP="00280C35">
      <w:pPr>
        <w:pStyle w:val="FootnoteText"/>
        <w:ind w:left="720" w:hanging="720"/>
        <w:rPr>
          <w:rFonts w:ascii="Times New Roman" w:hAnsi="Times New Roman" w:cs="Times New Roman"/>
        </w:rPr>
      </w:pPr>
    </w:p>
    <w:p w14:paraId="2C5E12C5" w14:textId="19D61674" w:rsidR="00935D01" w:rsidRDefault="00935D01" w:rsidP="00280C35">
      <w:pPr>
        <w:pStyle w:val="FootnoteText"/>
        <w:ind w:left="720" w:hanging="720"/>
        <w:rPr>
          <w:rFonts w:ascii="Times New Roman" w:hAnsi="Times New Roman" w:cs="Times New Roman"/>
        </w:rPr>
      </w:pPr>
      <w:r w:rsidRPr="009F35FF">
        <w:rPr>
          <w:rFonts w:ascii="Times New Roman" w:hAnsi="Times New Roman" w:cs="Times New Roman"/>
        </w:rPr>
        <w:t>Miller,</w:t>
      </w:r>
      <w:r w:rsidRPr="00935D01">
        <w:rPr>
          <w:rFonts w:ascii="Times New Roman" w:hAnsi="Times New Roman" w:cs="Times New Roman"/>
        </w:rPr>
        <w:t xml:space="preserve"> </w:t>
      </w:r>
      <w:r>
        <w:rPr>
          <w:rFonts w:ascii="Times New Roman" w:hAnsi="Times New Roman" w:cs="Times New Roman"/>
        </w:rPr>
        <w:t>William L.</w:t>
      </w:r>
      <w:r w:rsidRPr="009F35FF">
        <w:rPr>
          <w:rFonts w:ascii="Times New Roman" w:hAnsi="Times New Roman" w:cs="Times New Roman"/>
        </w:rPr>
        <w:t xml:space="preserve"> “Introduction: From</w:t>
      </w:r>
      <w:r>
        <w:rPr>
          <w:rFonts w:ascii="Times New Roman" w:hAnsi="Times New Roman" w:cs="Times New Roman"/>
        </w:rPr>
        <w:t xml:space="preserve"> Last Empress to First Minister.” I</w:t>
      </w:r>
      <w:r w:rsidRPr="009F35FF">
        <w:rPr>
          <w:rFonts w:ascii="Times New Roman" w:hAnsi="Times New Roman" w:cs="Times New Roman"/>
        </w:rPr>
        <w:t xml:space="preserve">n </w:t>
      </w:r>
      <w:r w:rsidRPr="009F35FF">
        <w:rPr>
          <w:rFonts w:ascii="Times New Roman" w:hAnsi="Times New Roman" w:cs="Times New Roman"/>
          <w:i/>
        </w:rPr>
        <w:t>Anglo-Scottish Relations from 1900 to Devolution and Beyond</w:t>
      </w:r>
      <w:r>
        <w:rPr>
          <w:rFonts w:ascii="Times New Roman" w:hAnsi="Times New Roman" w:cs="Times New Roman"/>
        </w:rPr>
        <w:t xml:space="preserve">. Edited by William L. Miller </w:t>
      </w:r>
      <w:r w:rsidRPr="009F35FF">
        <w:rPr>
          <w:rFonts w:ascii="Times New Roman" w:hAnsi="Times New Roman" w:cs="Times New Roman"/>
        </w:rPr>
        <w:t>Oxford:</w:t>
      </w:r>
      <w:r>
        <w:rPr>
          <w:rFonts w:ascii="Times New Roman" w:hAnsi="Times New Roman" w:cs="Times New Roman"/>
        </w:rPr>
        <w:t xml:space="preserve"> Oxford University Press, 2005, 1-13</w:t>
      </w:r>
      <w:r w:rsidRPr="009F35FF">
        <w:rPr>
          <w:rFonts w:ascii="Times New Roman" w:hAnsi="Times New Roman" w:cs="Times New Roman"/>
        </w:rPr>
        <w:t>.</w:t>
      </w:r>
    </w:p>
    <w:p w14:paraId="72573789" w14:textId="77777777" w:rsidR="00801940" w:rsidRDefault="00801940" w:rsidP="00280C35">
      <w:pPr>
        <w:pStyle w:val="FootnoteText"/>
        <w:ind w:left="720" w:hanging="720"/>
        <w:rPr>
          <w:rFonts w:ascii="Times New Roman" w:hAnsi="Times New Roman" w:cs="Times New Roman"/>
        </w:rPr>
      </w:pPr>
    </w:p>
    <w:p w14:paraId="620FB96D" w14:textId="2668148F" w:rsidR="003652D8" w:rsidRDefault="003652D8" w:rsidP="00280C35">
      <w:pPr>
        <w:pStyle w:val="FootnoteText"/>
        <w:ind w:left="720" w:hanging="720"/>
        <w:rPr>
          <w:rFonts w:ascii="Times New Roman" w:hAnsi="Times New Roman" w:cs="Times New Roman"/>
        </w:rPr>
      </w:pPr>
      <w:r w:rsidRPr="000E69D9">
        <w:rPr>
          <w:rFonts w:ascii="Times New Roman" w:hAnsi="Times New Roman" w:cs="Times New Roman"/>
        </w:rPr>
        <w:lastRenderedPageBreak/>
        <w:t>Ministry of Foreign Affairs, External Trade</w:t>
      </w:r>
      <w:r>
        <w:rPr>
          <w:rFonts w:ascii="Times New Roman" w:hAnsi="Times New Roman" w:cs="Times New Roman"/>
        </w:rPr>
        <w:t xml:space="preserve"> and Cooperation in Development.</w:t>
      </w:r>
      <w:r w:rsidRPr="000E69D9">
        <w:rPr>
          <w:rFonts w:ascii="Times New Roman" w:hAnsi="Times New Roman" w:cs="Times New Roman"/>
        </w:rPr>
        <w:t xml:space="preserve"> </w:t>
      </w:r>
      <w:r w:rsidRPr="000E69D9">
        <w:rPr>
          <w:rFonts w:ascii="Times New Roman" w:hAnsi="Times New Roman" w:cs="Times New Roman"/>
          <w:i/>
        </w:rPr>
        <w:t>Memo from Belgium Views and Surveys: Documents Illustrating the History of Belgium</w:t>
      </w:r>
      <w:r>
        <w:rPr>
          <w:rFonts w:ascii="Times New Roman" w:hAnsi="Times New Roman" w:cs="Times New Roman"/>
        </w:rPr>
        <w:t>.</w:t>
      </w:r>
      <w:r w:rsidRPr="000E69D9">
        <w:rPr>
          <w:rFonts w:ascii="Times New Roman" w:hAnsi="Times New Roman" w:cs="Times New Roman"/>
        </w:rPr>
        <w:t xml:space="preserve"> Brussels: Min</w:t>
      </w:r>
      <w:r>
        <w:rPr>
          <w:rFonts w:ascii="Times New Roman" w:hAnsi="Times New Roman" w:cs="Times New Roman"/>
        </w:rPr>
        <w:t>istry of Foreign Affairs, 1978.</w:t>
      </w:r>
    </w:p>
    <w:p w14:paraId="16FA8334" w14:textId="77777777" w:rsidR="00801940" w:rsidRDefault="00801940" w:rsidP="00280C35">
      <w:pPr>
        <w:pStyle w:val="FootnoteText"/>
        <w:ind w:left="720" w:hanging="720"/>
        <w:rPr>
          <w:rFonts w:ascii="Times New Roman" w:hAnsi="Times New Roman" w:cs="Times New Roman"/>
        </w:rPr>
      </w:pPr>
    </w:p>
    <w:p w14:paraId="1B9CBE9B" w14:textId="195B58A1" w:rsidR="00776074" w:rsidRDefault="00776074" w:rsidP="00280C35">
      <w:pPr>
        <w:pStyle w:val="FootnoteText"/>
        <w:ind w:left="720" w:hanging="720"/>
        <w:rPr>
          <w:rFonts w:ascii="Times New Roman" w:hAnsi="Times New Roman" w:cs="Times New Roman"/>
        </w:rPr>
      </w:pPr>
      <w:proofErr w:type="spellStart"/>
      <w:r w:rsidRPr="000E69D9">
        <w:rPr>
          <w:rFonts w:ascii="Times New Roman" w:hAnsi="Times New Roman" w:cs="Times New Roman"/>
        </w:rPr>
        <w:t>Mughan</w:t>
      </w:r>
      <w:proofErr w:type="spellEnd"/>
      <w:r w:rsidRPr="000E69D9">
        <w:rPr>
          <w:rFonts w:ascii="Times New Roman" w:hAnsi="Times New Roman" w:cs="Times New Roman"/>
        </w:rPr>
        <w:t>,</w:t>
      </w:r>
      <w:r w:rsidRPr="00776074">
        <w:rPr>
          <w:rFonts w:ascii="Times New Roman" w:hAnsi="Times New Roman" w:cs="Times New Roman"/>
        </w:rPr>
        <w:t xml:space="preserve"> </w:t>
      </w:r>
      <w:r w:rsidRPr="000E69D9">
        <w:rPr>
          <w:rFonts w:ascii="Times New Roman" w:hAnsi="Times New Roman" w:cs="Times New Roman"/>
        </w:rPr>
        <w:t>Anthony</w:t>
      </w:r>
      <w:r>
        <w:rPr>
          <w:rFonts w:ascii="Times New Roman" w:hAnsi="Times New Roman" w:cs="Times New Roman"/>
        </w:rPr>
        <w:t>.</w:t>
      </w:r>
      <w:r w:rsidRPr="000E69D9">
        <w:rPr>
          <w:rFonts w:ascii="Times New Roman" w:hAnsi="Times New Roman" w:cs="Times New Roman"/>
        </w:rPr>
        <w:t xml:space="preserve"> “Modernization and Ethnic Conflict in Belgium</w:t>
      </w:r>
      <w:r>
        <w:rPr>
          <w:rFonts w:ascii="Times New Roman" w:hAnsi="Times New Roman" w:cs="Times New Roman"/>
        </w:rPr>
        <w:t>.</w:t>
      </w:r>
      <w:r w:rsidRPr="000E69D9">
        <w:rPr>
          <w:rFonts w:ascii="Times New Roman" w:hAnsi="Times New Roman" w:cs="Times New Roman"/>
        </w:rPr>
        <w:t xml:space="preserve">” </w:t>
      </w:r>
      <w:r w:rsidRPr="000E69D9">
        <w:rPr>
          <w:rFonts w:ascii="Times New Roman" w:hAnsi="Times New Roman" w:cs="Times New Roman"/>
          <w:i/>
        </w:rPr>
        <w:t xml:space="preserve">Political </w:t>
      </w:r>
      <w:proofErr w:type="spellStart"/>
      <w:r w:rsidRPr="000E69D9">
        <w:rPr>
          <w:rFonts w:ascii="Times New Roman" w:hAnsi="Times New Roman" w:cs="Times New Roman"/>
          <w:i/>
        </w:rPr>
        <w:t>Stuides</w:t>
      </w:r>
      <w:proofErr w:type="spellEnd"/>
      <w:r>
        <w:rPr>
          <w:rFonts w:ascii="Times New Roman" w:hAnsi="Times New Roman" w:cs="Times New Roman"/>
        </w:rPr>
        <w:t xml:space="preserve"> 27 no. 1 (</w:t>
      </w:r>
      <w:proofErr w:type="spellStart"/>
      <w:r>
        <w:rPr>
          <w:rFonts w:ascii="Times New Roman" w:hAnsi="Times New Roman" w:cs="Times New Roman"/>
        </w:rPr>
        <w:t>n.d.</w:t>
      </w:r>
      <w:proofErr w:type="spellEnd"/>
      <w:r>
        <w:rPr>
          <w:rFonts w:ascii="Times New Roman" w:hAnsi="Times New Roman" w:cs="Times New Roman"/>
        </w:rPr>
        <w:t>): 21-37.</w:t>
      </w:r>
    </w:p>
    <w:p w14:paraId="238812D2" w14:textId="77777777" w:rsidR="00801940" w:rsidRDefault="00801940" w:rsidP="00280C35">
      <w:pPr>
        <w:pStyle w:val="FootnoteText"/>
        <w:ind w:left="720" w:hanging="720"/>
        <w:rPr>
          <w:rFonts w:ascii="Times New Roman" w:hAnsi="Times New Roman" w:cs="Times New Roman"/>
        </w:rPr>
      </w:pPr>
    </w:p>
    <w:p w14:paraId="4CEE10F9" w14:textId="7B135EAB" w:rsidR="00ED35E8" w:rsidRDefault="00ED35E8" w:rsidP="00280C35">
      <w:pPr>
        <w:pStyle w:val="FootnoteText"/>
        <w:ind w:left="720" w:hanging="720"/>
        <w:rPr>
          <w:rFonts w:ascii="Times New Roman" w:hAnsi="Times New Roman" w:cs="Times New Roman"/>
        </w:rPr>
      </w:pPr>
      <w:r w:rsidRPr="000E69D9">
        <w:rPr>
          <w:rFonts w:ascii="Times New Roman" w:hAnsi="Times New Roman" w:cs="Times New Roman"/>
        </w:rPr>
        <w:t>Penman,</w:t>
      </w:r>
      <w:r w:rsidRPr="00ED35E8">
        <w:rPr>
          <w:rFonts w:ascii="Times New Roman" w:hAnsi="Times New Roman" w:cs="Times New Roman"/>
        </w:rPr>
        <w:t xml:space="preserve"> </w:t>
      </w:r>
      <w:r w:rsidRPr="000E69D9">
        <w:rPr>
          <w:rFonts w:ascii="Times New Roman" w:hAnsi="Times New Roman" w:cs="Times New Roman"/>
        </w:rPr>
        <w:t>Michael</w:t>
      </w:r>
      <w:r>
        <w:rPr>
          <w:rFonts w:ascii="Times New Roman" w:hAnsi="Times New Roman" w:cs="Times New Roman"/>
        </w:rPr>
        <w:t>.</w:t>
      </w:r>
      <w:r w:rsidRPr="000E69D9">
        <w:rPr>
          <w:rFonts w:ascii="Times New Roman" w:hAnsi="Times New Roman" w:cs="Times New Roman"/>
        </w:rPr>
        <w:t xml:space="preserve"> </w:t>
      </w:r>
      <w:r w:rsidRPr="000E69D9">
        <w:rPr>
          <w:rFonts w:ascii="Times New Roman" w:hAnsi="Times New Roman" w:cs="Times New Roman"/>
          <w:i/>
        </w:rPr>
        <w:t>Robert the Bruce: King of the Scots</w:t>
      </w:r>
      <w:r>
        <w:rPr>
          <w:rFonts w:ascii="Times New Roman" w:hAnsi="Times New Roman" w:cs="Times New Roman"/>
        </w:rPr>
        <w:t>.</w:t>
      </w:r>
      <w:r w:rsidRPr="000E69D9">
        <w:rPr>
          <w:rFonts w:ascii="Times New Roman" w:hAnsi="Times New Roman" w:cs="Times New Roman"/>
        </w:rPr>
        <w:t xml:space="preserve"> New Hav</w:t>
      </w:r>
      <w:r>
        <w:rPr>
          <w:rFonts w:ascii="Times New Roman" w:hAnsi="Times New Roman" w:cs="Times New Roman"/>
        </w:rPr>
        <w:t>en: Yale University Press, 2014.</w:t>
      </w:r>
    </w:p>
    <w:p w14:paraId="3646CD38" w14:textId="77777777" w:rsidR="00801940" w:rsidRDefault="00801940" w:rsidP="00280C35">
      <w:pPr>
        <w:pStyle w:val="FootnoteText"/>
        <w:ind w:left="720" w:hanging="720"/>
        <w:rPr>
          <w:rFonts w:ascii="Times New Roman" w:hAnsi="Times New Roman" w:cs="Times New Roman"/>
        </w:rPr>
      </w:pPr>
    </w:p>
    <w:p w14:paraId="3D0005F8" w14:textId="38C372CE" w:rsidR="00C95363" w:rsidRDefault="00C95363" w:rsidP="00280C35">
      <w:pPr>
        <w:pStyle w:val="FootnoteText"/>
        <w:ind w:left="720" w:hanging="720"/>
        <w:rPr>
          <w:rFonts w:ascii="Times New Roman" w:hAnsi="Times New Roman" w:cs="Times New Roman"/>
        </w:rPr>
      </w:pPr>
      <w:r w:rsidRPr="00AB383B">
        <w:rPr>
          <w:rFonts w:ascii="Times New Roman" w:hAnsi="Times New Roman" w:cs="Times New Roman"/>
        </w:rPr>
        <w:t>“</w:t>
      </w:r>
      <w:r w:rsidRPr="00AB383B">
        <w:rPr>
          <w:rFonts w:ascii="Times New Roman" w:hAnsi="Times New Roman" w:cs="Times New Roman"/>
          <w:color w:val="000000"/>
        </w:rPr>
        <w:t>Provisional Government of Belgium Decree of 16 November 1830</w:t>
      </w:r>
      <w:r>
        <w:rPr>
          <w:rFonts w:ascii="Times New Roman" w:hAnsi="Times New Roman" w:cs="Times New Roman"/>
          <w:color w:val="000000"/>
        </w:rPr>
        <w:t>.</w:t>
      </w:r>
      <w:r w:rsidRPr="00AB383B">
        <w:rPr>
          <w:rFonts w:ascii="Times New Roman" w:hAnsi="Times New Roman" w:cs="Times New Roman"/>
          <w:color w:val="000000"/>
        </w:rPr>
        <w:t>”</w:t>
      </w:r>
      <w:r>
        <w:rPr>
          <w:rFonts w:ascii="Times New Roman" w:hAnsi="Times New Roman" w:cs="Times New Roman"/>
          <w:color w:val="000000"/>
        </w:rPr>
        <w:t xml:space="preserve"> In</w:t>
      </w:r>
      <w:r w:rsidRPr="00AB383B">
        <w:rPr>
          <w:rFonts w:ascii="Times New Roman" w:hAnsi="Times New Roman" w:cs="Times New Roman"/>
          <w:color w:val="000000"/>
        </w:rPr>
        <w:t xml:space="preserve"> </w:t>
      </w:r>
      <w:proofErr w:type="gramStart"/>
      <w:r w:rsidRPr="00AB383B">
        <w:rPr>
          <w:rFonts w:ascii="Times New Roman" w:hAnsi="Times New Roman" w:cs="Times New Roman"/>
          <w:i/>
        </w:rPr>
        <w:t>The</w:t>
      </w:r>
      <w:proofErr w:type="gramEnd"/>
      <w:r w:rsidRPr="00AB383B">
        <w:rPr>
          <w:rFonts w:ascii="Times New Roman" w:hAnsi="Times New Roman" w:cs="Times New Roman"/>
          <w:i/>
        </w:rPr>
        <w:t xml:space="preserve"> Flemish Movement: A Documentary History</w:t>
      </w:r>
      <w:r>
        <w:rPr>
          <w:rFonts w:ascii="Times New Roman" w:hAnsi="Times New Roman" w:cs="Times New Roman"/>
        </w:rPr>
        <w:t xml:space="preserve"> Edited by Theo </w:t>
      </w:r>
      <w:proofErr w:type="spellStart"/>
      <w:r>
        <w:rPr>
          <w:rFonts w:ascii="Times New Roman" w:hAnsi="Times New Roman" w:cs="Times New Roman"/>
        </w:rPr>
        <w:t>Hermans</w:t>
      </w:r>
      <w:proofErr w:type="spellEnd"/>
      <w:r>
        <w:rPr>
          <w:rFonts w:ascii="Times New Roman" w:hAnsi="Times New Roman" w:cs="Times New Roman"/>
        </w:rPr>
        <w:t>, Co-edited by</w:t>
      </w:r>
      <w:r w:rsidRPr="00AB383B">
        <w:rPr>
          <w:rFonts w:ascii="Times New Roman" w:hAnsi="Times New Roman" w:cs="Times New Roman"/>
        </w:rPr>
        <w:t xml:space="preserve"> Louis </w:t>
      </w:r>
      <w:proofErr w:type="spellStart"/>
      <w:r w:rsidRPr="00AB383B">
        <w:rPr>
          <w:rFonts w:ascii="Times New Roman" w:hAnsi="Times New Roman" w:cs="Times New Roman"/>
        </w:rPr>
        <w:t>Vos</w:t>
      </w:r>
      <w:proofErr w:type="spellEnd"/>
      <w:r w:rsidRPr="00AB383B">
        <w:rPr>
          <w:rFonts w:ascii="Times New Roman" w:hAnsi="Times New Roman" w:cs="Times New Roman"/>
        </w:rPr>
        <w:t xml:space="preserve"> and Lod</w:t>
      </w:r>
      <w:r>
        <w:rPr>
          <w:rFonts w:ascii="Times New Roman" w:hAnsi="Times New Roman" w:cs="Times New Roman"/>
        </w:rPr>
        <w:t xml:space="preserve">e </w:t>
      </w:r>
      <w:proofErr w:type="spellStart"/>
      <w:r>
        <w:rPr>
          <w:rFonts w:ascii="Times New Roman" w:hAnsi="Times New Roman" w:cs="Times New Roman"/>
        </w:rPr>
        <w:t>Wils</w:t>
      </w:r>
      <w:proofErr w:type="spellEnd"/>
      <w:r>
        <w:rPr>
          <w:rFonts w:ascii="Times New Roman" w:hAnsi="Times New Roman" w:cs="Times New Roman"/>
        </w:rPr>
        <w:t xml:space="preserve"> </w:t>
      </w:r>
      <w:r w:rsidRPr="00AB383B">
        <w:rPr>
          <w:rFonts w:ascii="Times New Roman" w:hAnsi="Times New Roman" w:cs="Times New Roman"/>
        </w:rPr>
        <w:t xml:space="preserve">London: The </w:t>
      </w:r>
      <w:proofErr w:type="spellStart"/>
      <w:r w:rsidRPr="00AB383B">
        <w:rPr>
          <w:rFonts w:ascii="Times New Roman" w:hAnsi="Times New Roman" w:cs="Times New Roman"/>
        </w:rPr>
        <w:t>Athlone</w:t>
      </w:r>
      <w:proofErr w:type="spellEnd"/>
      <w:r w:rsidRPr="00AB383B">
        <w:rPr>
          <w:rFonts w:ascii="Times New Roman" w:hAnsi="Times New Roman" w:cs="Times New Roman"/>
        </w:rPr>
        <w:t xml:space="preserve"> Press, 1992</w:t>
      </w:r>
      <w:r>
        <w:rPr>
          <w:rFonts w:ascii="Times New Roman" w:hAnsi="Times New Roman" w:cs="Times New Roman"/>
        </w:rPr>
        <w:t>, 71-72.</w:t>
      </w:r>
    </w:p>
    <w:p w14:paraId="553BA965" w14:textId="77777777" w:rsidR="00801940" w:rsidRDefault="00801940" w:rsidP="00280C35">
      <w:pPr>
        <w:pStyle w:val="FootnoteText"/>
        <w:ind w:left="720" w:hanging="720"/>
        <w:rPr>
          <w:rFonts w:ascii="Times New Roman" w:hAnsi="Times New Roman" w:cs="Times New Roman"/>
        </w:rPr>
      </w:pPr>
    </w:p>
    <w:p w14:paraId="2CB2F46E" w14:textId="66676F5B" w:rsidR="00D627D7" w:rsidRDefault="00D627D7" w:rsidP="00280C35">
      <w:pPr>
        <w:pStyle w:val="FootnoteText"/>
        <w:ind w:left="720" w:hanging="720"/>
        <w:rPr>
          <w:rFonts w:ascii="Times New Roman" w:hAnsi="Times New Roman" w:cs="Times New Roman"/>
        </w:rPr>
      </w:pPr>
      <w:r w:rsidRPr="000E69D9">
        <w:rPr>
          <w:rFonts w:ascii="Times New Roman" w:hAnsi="Times New Roman" w:cs="Times New Roman"/>
        </w:rPr>
        <w:t>Reynolds,</w:t>
      </w:r>
      <w:r w:rsidRPr="00D627D7">
        <w:rPr>
          <w:rFonts w:ascii="Times New Roman" w:hAnsi="Times New Roman" w:cs="Times New Roman"/>
        </w:rPr>
        <w:t xml:space="preserve"> </w:t>
      </w:r>
      <w:r w:rsidRPr="000E69D9">
        <w:rPr>
          <w:rFonts w:ascii="Times New Roman" w:hAnsi="Times New Roman" w:cs="Times New Roman"/>
        </w:rPr>
        <w:t>Susan</w:t>
      </w:r>
      <w:r>
        <w:rPr>
          <w:rFonts w:ascii="Times New Roman" w:hAnsi="Times New Roman" w:cs="Times New Roman"/>
        </w:rPr>
        <w:t>.</w:t>
      </w:r>
      <w:r w:rsidRPr="000E69D9">
        <w:rPr>
          <w:rFonts w:ascii="Times New Roman" w:hAnsi="Times New Roman" w:cs="Times New Roman"/>
        </w:rPr>
        <w:t xml:space="preserve"> </w:t>
      </w:r>
      <w:r w:rsidRPr="000E69D9">
        <w:rPr>
          <w:rFonts w:ascii="Times New Roman" w:hAnsi="Times New Roman" w:cs="Times New Roman"/>
          <w:i/>
        </w:rPr>
        <w:t>Kingdoms and Communities in Western Europe, 900-1300</w:t>
      </w:r>
      <w:r>
        <w:rPr>
          <w:rFonts w:ascii="Times New Roman" w:hAnsi="Times New Roman" w:cs="Times New Roman"/>
        </w:rPr>
        <w:t xml:space="preserve">. </w:t>
      </w:r>
      <w:r w:rsidRPr="000E69D9">
        <w:rPr>
          <w:rFonts w:ascii="Times New Roman" w:hAnsi="Times New Roman" w:cs="Times New Roman"/>
        </w:rPr>
        <w:t>Oxford:</w:t>
      </w:r>
      <w:r>
        <w:rPr>
          <w:rFonts w:ascii="Times New Roman" w:hAnsi="Times New Roman" w:cs="Times New Roman"/>
        </w:rPr>
        <w:t xml:space="preserve"> Oxford University Press, 1997.</w:t>
      </w:r>
    </w:p>
    <w:p w14:paraId="6CDE6F8A" w14:textId="77777777" w:rsidR="00801940" w:rsidRDefault="00801940" w:rsidP="00280C35">
      <w:pPr>
        <w:pStyle w:val="FootnoteText"/>
        <w:ind w:left="720" w:hanging="720"/>
        <w:rPr>
          <w:rFonts w:ascii="Times New Roman" w:hAnsi="Times New Roman" w:cs="Times New Roman"/>
        </w:rPr>
      </w:pPr>
    </w:p>
    <w:p w14:paraId="06CADC0D" w14:textId="0050D0CC" w:rsidR="00D0784D" w:rsidRDefault="00D0784D" w:rsidP="00280C35">
      <w:pPr>
        <w:pStyle w:val="FootnoteText"/>
        <w:ind w:left="720" w:hanging="720"/>
        <w:rPr>
          <w:rFonts w:ascii="Times New Roman" w:hAnsi="Times New Roman" w:cs="Times New Roman"/>
        </w:rPr>
      </w:pPr>
      <w:r w:rsidRPr="00AB383B">
        <w:rPr>
          <w:rFonts w:ascii="Times New Roman" w:hAnsi="Times New Roman" w:cs="Times New Roman"/>
        </w:rPr>
        <w:t xml:space="preserve">Robinson, Michael E. “Colonial Publication Policy and </w:t>
      </w:r>
      <w:r>
        <w:rPr>
          <w:rFonts w:ascii="Times New Roman" w:hAnsi="Times New Roman" w:cs="Times New Roman"/>
        </w:rPr>
        <w:t>the Korean Nationalist Movement.” I</w:t>
      </w:r>
      <w:r w:rsidRPr="00AB383B">
        <w:rPr>
          <w:rFonts w:ascii="Times New Roman" w:hAnsi="Times New Roman" w:cs="Times New Roman"/>
        </w:rPr>
        <w:t xml:space="preserve">n </w:t>
      </w:r>
      <w:proofErr w:type="gramStart"/>
      <w:r w:rsidRPr="00AB383B">
        <w:rPr>
          <w:rFonts w:ascii="Times New Roman" w:hAnsi="Times New Roman" w:cs="Times New Roman"/>
          <w:i/>
        </w:rPr>
        <w:t>The</w:t>
      </w:r>
      <w:proofErr w:type="gramEnd"/>
      <w:r w:rsidRPr="00AB383B">
        <w:rPr>
          <w:rFonts w:ascii="Times New Roman" w:hAnsi="Times New Roman" w:cs="Times New Roman"/>
          <w:i/>
        </w:rPr>
        <w:t xml:space="preserve"> Japanese Colonial Empire, 1895-1945</w:t>
      </w:r>
      <w:r>
        <w:rPr>
          <w:rFonts w:ascii="Times New Roman" w:hAnsi="Times New Roman" w:cs="Times New Roman"/>
        </w:rPr>
        <w:t>. Edited by</w:t>
      </w:r>
      <w:r w:rsidRPr="00AB383B">
        <w:rPr>
          <w:rFonts w:ascii="Times New Roman" w:hAnsi="Times New Roman" w:cs="Times New Roman"/>
        </w:rPr>
        <w:t xml:space="preserve"> Ramo</w:t>
      </w:r>
      <w:r>
        <w:rPr>
          <w:rFonts w:ascii="Times New Roman" w:hAnsi="Times New Roman" w:cs="Times New Roman"/>
        </w:rPr>
        <w:t xml:space="preserve">n H. Myers and Mark R. </w:t>
      </w:r>
      <w:proofErr w:type="spellStart"/>
      <w:r>
        <w:rPr>
          <w:rFonts w:ascii="Times New Roman" w:hAnsi="Times New Roman" w:cs="Times New Roman"/>
        </w:rPr>
        <w:t>Peattle</w:t>
      </w:r>
      <w:proofErr w:type="spellEnd"/>
      <w:r>
        <w:rPr>
          <w:rFonts w:ascii="Times New Roman" w:hAnsi="Times New Roman" w:cs="Times New Roman"/>
        </w:rPr>
        <w:t xml:space="preserve"> </w:t>
      </w:r>
      <w:r w:rsidRPr="00AB383B">
        <w:rPr>
          <w:rFonts w:ascii="Times New Roman" w:hAnsi="Times New Roman" w:cs="Times New Roman"/>
        </w:rPr>
        <w:t>Princeton: Princeton University Press, 1984</w:t>
      </w:r>
      <w:r>
        <w:rPr>
          <w:rFonts w:ascii="Times New Roman" w:hAnsi="Times New Roman" w:cs="Times New Roman"/>
        </w:rPr>
        <w:t>,</w:t>
      </w:r>
      <w:r w:rsidR="00361E81">
        <w:rPr>
          <w:rFonts w:ascii="Times New Roman" w:hAnsi="Times New Roman" w:cs="Times New Roman"/>
        </w:rPr>
        <w:t xml:space="preserve"> 305-342.</w:t>
      </w:r>
    </w:p>
    <w:p w14:paraId="2C69F7E5" w14:textId="77777777" w:rsidR="00801940" w:rsidRDefault="00801940" w:rsidP="00280C35">
      <w:pPr>
        <w:pStyle w:val="FootnoteText"/>
        <w:ind w:left="720" w:hanging="720"/>
        <w:rPr>
          <w:rFonts w:ascii="Times New Roman" w:hAnsi="Times New Roman" w:cs="Times New Roman"/>
        </w:rPr>
      </w:pPr>
    </w:p>
    <w:p w14:paraId="3A31D506" w14:textId="5E90D90B" w:rsidR="00E610CA" w:rsidRDefault="00801940" w:rsidP="00280C35">
      <w:pPr>
        <w:pStyle w:val="FootnoteText"/>
        <w:ind w:left="720" w:hanging="720"/>
        <w:rPr>
          <w:rFonts w:ascii="Times New Roman" w:hAnsi="Times New Roman" w:cs="Times New Roman"/>
        </w:rPr>
      </w:pPr>
      <w:r>
        <w:rPr>
          <w:rFonts w:ascii="Times New Roman" w:hAnsi="Times New Roman" w:cs="Times New Roman"/>
        </w:rPr>
        <w:t>---</w:t>
      </w:r>
      <w:r w:rsidR="00E610CA">
        <w:rPr>
          <w:rFonts w:ascii="Times New Roman" w:hAnsi="Times New Roman" w:cs="Times New Roman"/>
        </w:rPr>
        <w:t>.</w:t>
      </w:r>
      <w:r w:rsidR="00E610CA" w:rsidRPr="00AB383B">
        <w:rPr>
          <w:rFonts w:ascii="Times New Roman" w:hAnsi="Times New Roman" w:cs="Times New Roman"/>
        </w:rPr>
        <w:t xml:space="preserve"> </w:t>
      </w:r>
      <w:r w:rsidR="00E610CA" w:rsidRPr="00AB383B">
        <w:rPr>
          <w:rFonts w:ascii="Times New Roman" w:hAnsi="Times New Roman" w:cs="Times New Roman"/>
          <w:i/>
        </w:rPr>
        <w:t>Cultural Nationalism in Colonial Korea, 1920-1925</w:t>
      </w:r>
      <w:r w:rsidR="00E610CA">
        <w:rPr>
          <w:rFonts w:ascii="Times New Roman" w:hAnsi="Times New Roman" w:cs="Times New Roman"/>
        </w:rPr>
        <w:t xml:space="preserve">. </w:t>
      </w:r>
      <w:r w:rsidR="00E610CA" w:rsidRPr="00AB383B">
        <w:rPr>
          <w:rFonts w:ascii="Times New Roman" w:hAnsi="Times New Roman" w:cs="Times New Roman"/>
        </w:rPr>
        <w:t>Seattle: Unive</w:t>
      </w:r>
      <w:r w:rsidR="00E610CA">
        <w:rPr>
          <w:rFonts w:ascii="Times New Roman" w:hAnsi="Times New Roman" w:cs="Times New Roman"/>
        </w:rPr>
        <w:t>rsity of Washington Press, 1988.</w:t>
      </w:r>
    </w:p>
    <w:p w14:paraId="75E3629E" w14:textId="77777777" w:rsidR="00801940" w:rsidRDefault="00801940" w:rsidP="00280C35">
      <w:pPr>
        <w:pStyle w:val="FootnoteText"/>
        <w:ind w:left="720" w:hanging="720"/>
        <w:rPr>
          <w:rFonts w:ascii="Times New Roman" w:hAnsi="Times New Roman" w:cs="Times New Roman"/>
        </w:rPr>
      </w:pPr>
    </w:p>
    <w:p w14:paraId="7D5F254D" w14:textId="773A42ED" w:rsidR="006C25FC" w:rsidRDefault="00801940" w:rsidP="00280C35">
      <w:pPr>
        <w:pStyle w:val="FootnoteText"/>
        <w:ind w:left="720" w:hanging="720"/>
        <w:rPr>
          <w:rFonts w:ascii="Times New Roman" w:hAnsi="Times New Roman" w:cs="Times New Roman"/>
        </w:rPr>
      </w:pPr>
      <w:r>
        <w:rPr>
          <w:rFonts w:ascii="Times New Roman" w:hAnsi="Times New Roman" w:cs="Times New Roman"/>
        </w:rPr>
        <w:t>---</w:t>
      </w:r>
      <w:r w:rsidR="006C25FC">
        <w:rPr>
          <w:rFonts w:ascii="Times New Roman" w:hAnsi="Times New Roman" w:cs="Times New Roman"/>
        </w:rPr>
        <w:t>.</w:t>
      </w:r>
      <w:r w:rsidR="006C25FC" w:rsidRPr="00AB383B">
        <w:rPr>
          <w:rFonts w:ascii="Times New Roman" w:hAnsi="Times New Roman" w:cs="Times New Roman"/>
        </w:rPr>
        <w:t xml:space="preserve"> </w:t>
      </w:r>
      <w:r w:rsidR="006C25FC" w:rsidRPr="00AB383B">
        <w:rPr>
          <w:rFonts w:ascii="Times New Roman" w:hAnsi="Times New Roman" w:cs="Times New Roman"/>
          <w:i/>
        </w:rPr>
        <w:t>Korea’s Twentieth-Century Odyssey: A Short History</w:t>
      </w:r>
      <w:r w:rsidR="006C25FC">
        <w:rPr>
          <w:rFonts w:ascii="Times New Roman" w:hAnsi="Times New Roman" w:cs="Times New Roman"/>
        </w:rPr>
        <w:t xml:space="preserve">. </w:t>
      </w:r>
      <w:r w:rsidR="006C25FC" w:rsidRPr="00AB383B">
        <w:rPr>
          <w:rFonts w:ascii="Times New Roman" w:hAnsi="Times New Roman" w:cs="Times New Roman"/>
        </w:rPr>
        <w:t>Honolulu: University of Hawai’i Press, 2007</w:t>
      </w:r>
      <w:r w:rsidR="006C25FC">
        <w:rPr>
          <w:rFonts w:ascii="Times New Roman" w:hAnsi="Times New Roman" w:cs="Times New Roman"/>
        </w:rPr>
        <w:t>.</w:t>
      </w:r>
    </w:p>
    <w:p w14:paraId="112678D5" w14:textId="77777777" w:rsidR="00801940" w:rsidRDefault="00801940" w:rsidP="00280C35">
      <w:pPr>
        <w:pStyle w:val="FootnoteText"/>
        <w:ind w:left="720" w:hanging="720"/>
        <w:rPr>
          <w:rFonts w:ascii="Times New Roman" w:hAnsi="Times New Roman" w:cs="Times New Roman"/>
        </w:rPr>
      </w:pPr>
    </w:p>
    <w:p w14:paraId="7648DFF7" w14:textId="6DCDF20B" w:rsidR="00043C7B" w:rsidRPr="00AC639C" w:rsidRDefault="004F00CC" w:rsidP="00280C35">
      <w:pPr>
        <w:pStyle w:val="FootnoteText"/>
        <w:ind w:left="720" w:hanging="720"/>
        <w:rPr>
          <w:rFonts w:ascii="Times New Roman" w:hAnsi="Times New Roman" w:cs="Times New Roman"/>
        </w:rPr>
      </w:pPr>
      <w:r w:rsidRPr="00AC639C">
        <w:rPr>
          <w:rFonts w:ascii="Times New Roman" w:hAnsi="Times New Roman" w:cs="Times New Roman"/>
        </w:rPr>
        <w:t>Shin,</w:t>
      </w:r>
      <w:r w:rsidRPr="004F00CC">
        <w:rPr>
          <w:rFonts w:ascii="Times New Roman" w:hAnsi="Times New Roman" w:cs="Times New Roman"/>
        </w:rPr>
        <w:t xml:space="preserve"> </w:t>
      </w:r>
      <w:proofErr w:type="spellStart"/>
      <w:r w:rsidRPr="00AC639C">
        <w:rPr>
          <w:rFonts w:ascii="Times New Roman" w:hAnsi="Times New Roman" w:cs="Times New Roman"/>
        </w:rPr>
        <w:t>Gi-Wook</w:t>
      </w:r>
      <w:proofErr w:type="spellEnd"/>
      <w:r>
        <w:rPr>
          <w:rFonts w:ascii="Times New Roman" w:hAnsi="Times New Roman" w:cs="Times New Roman"/>
        </w:rPr>
        <w:t>.</w:t>
      </w:r>
      <w:r w:rsidRPr="00AC639C">
        <w:rPr>
          <w:rFonts w:ascii="Times New Roman" w:hAnsi="Times New Roman" w:cs="Times New Roman"/>
        </w:rPr>
        <w:t xml:space="preserve"> </w:t>
      </w:r>
      <w:r w:rsidRPr="00AC639C">
        <w:rPr>
          <w:rFonts w:ascii="Times New Roman" w:hAnsi="Times New Roman" w:cs="Times New Roman"/>
          <w:i/>
        </w:rPr>
        <w:t xml:space="preserve">Ethnic Nationalism in Korea: Genealogy, Politics, </w:t>
      </w:r>
      <w:r w:rsidRPr="004F00CC">
        <w:rPr>
          <w:rFonts w:ascii="Times New Roman" w:hAnsi="Times New Roman" w:cs="Times New Roman"/>
          <w:i/>
        </w:rPr>
        <w:t>and Legacy</w:t>
      </w:r>
      <w:r>
        <w:rPr>
          <w:rFonts w:ascii="Times New Roman" w:hAnsi="Times New Roman" w:cs="Times New Roman"/>
        </w:rPr>
        <w:t xml:space="preserve">. </w:t>
      </w:r>
      <w:r w:rsidRPr="00AC639C">
        <w:rPr>
          <w:rFonts w:ascii="Times New Roman" w:hAnsi="Times New Roman" w:cs="Times New Roman"/>
        </w:rPr>
        <w:t>Stanford: Stan</w:t>
      </w:r>
      <w:r>
        <w:rPr>
          <w:rFonts w:ascii="Times New Roman" w:hAnsi="Times New Roman" w:cs="Times New Roman"/>
        </w:rPr>
        <w:t>ford University Press, 2006</w:t>
      </w:r>
      <w:r w:rsidRPr="00AC639C">
        <w:rPr>
          <w:rFonts w:ascii="Times New Roman" w:hAnsi="Times New Roman" w:cs="Times New Roman"/>
        </w:rPr>
        <w:t>.</w:t>
      </w:r>
    </w:p>
    <w:p w14:paraId="0BF64B3D" w14:textId="77777777" w:rsidR="00801940" w:rsidRDefault="00801940" w:rsidP="00280C35">
      <w:pPr>
        <w:ind w:left="720" w:hanging="720"/>
      </w:pPr>
    </w:p>
    <w:p w14:paraId="4B9D1EDC" w14:textId="00853440" w:rsidR="00A742FF" w:rsidRDefault="00A742FF" w:rsidP="00280C35">
      <w:pPr>
        <w:ind w:left="720" w:hanging="720"/>
      </w:pPr>
      <w:r w:rsidRPr="00AB383B">
        <w:t>Smith,</w:t>
      </w:r>
      <w:r w:rsidRPr="00A742FF">
        <w:t xml:space="preserve"> </w:t>
      </w:r>
      <w:r>
        <w:t>Anthony D.</w:t>
      </w:r>
      <w:r w:rsidRPr="00AB383B">
        <w:t xml:space="preserve"> </w:t>
      </w:r>
      <w:r w:rsidRPr="00AB383B">
        <w:rPr>
          <w:i/>
        </w:rPr>
        <w:t>Myth and Memories of the Nation</w:t>
      </w:r>
      <w:r>
        <w:t xml:space="preserve">. </w:t>
      </w:r>
      <w:r w:rsidRPr="00AB383B">
        <w:t>New York: O</w:t>
      </w:r>
      <w:r>
        <w:t>xford University Press, 1999.</w:t>
      </w:r>
    </w:p>
    <w:p w14:paraId="02B11E0F" w14:textId="77777777" w:rsidR="00801940" w:rsidRDefault="00801940" w:rsidP="00D61F6D">
      <w:pPr>
        <w:pStyle w:val="FootnoteText"/>
        <w:rPr>
          <w:rFonts w:ascii="Times New Roman" w:hAnsi="Times New Roman" w:cs="Times New Roman"/>
        </w:rPr>
      </w:pPr>
    </w:p>
    <w:p w14:paraId="376D682E" w14:textId="38FA7B82" w:rsidR="00731A86" w:rsidRPr="00D61F6D" w:rsidRDefault="00731A86" w:rsidP="00801940">
      <w:pPr>
        <w:pStyle w:val="FootnoteText"/>
        <w:ind w:left="720" w:hanging="720"/>
        <w:rPr>
          <w:rFonts w:ascii="Times New Roman" w:hAnsi="Times New Roman" w:cs="Times New Roman"/>
        </w:rPr>
      </w:pPr>
      <w:r w:rsidRPr="00AB383B">
        <w:rPr>
          <w:rFonts w:ascii="Times New Roman" w:hAnsi="Times New Roman" w:cs="Times New Roman"/>
        </w:rPr>
        <w:t>Sorenson, Clark</w:t>
      </w:r>
      <w:r>
        <w:rPr>
          <w:rFonts w:ascii="Times New Roman" w:hAnsi="Times New Roman" w:cs="Times New Roman"/>
        </w:rPr>
        <w:t>.</w:t>
      </w:r>
      <w:r w:rsidRPr="00AB383B">
        <w:rPr>
          <w:rFonts w:ascii="Times New Roman" w:hAnsi="Times New Roman" w:cs="Times New Roman"/>
        </w:rPr>
        <w:t xml:space="preserve"> “National Identity and the Creation of </w:t>
      </w:r>
      <w:r>
        <w:rPr>
          <w:rFonts w:ascii="Times New Roman" w:hAnsi="Times New Roman" w:cs="Times New Roman"/>
        </w:rPr>
        <w:t>the Category ‘Peasant’ in Colonial Korea.” In Colonial Modernity in Korea. Edited by</w:t>
      </w:r>
      <w:r w:rsidRPr="00AB383B">
        <w:rPr>
          <w:rFonts w:ascii="Times New Roman" w:hAnsi="Times New Roman" w:cs="Times New Roman"/>
        </w:rPr>
        <w:t xml:space="preserve"> </w:t>
      </w:r>
      <w:proofErr w:type="spellStart"/>
      <w:r w:rsidRPr="00AB383B">
        <w:rPr>
          <w:rFonts w:ascii="Times New Roman" w:hAnsi="Times New Roman" w:cs="Times New Roman"/>
        </w:rPr>
        <w:t>Gi-Wook</w:t>
      </w:r>
      <w:proofErr w:type="spellEnd"/>
      <w:r w:rsidRPr="00AB383B">
        <w:rPr>
          <w:rFonts w:ascii="Times New Roman" w:hAnsi="Times New Roman" w:cs="Times New Roman"/>
        </w:rPr>
        <w:t xml:space="preserve"> S</w:t>
      </w:r>
      <w:r>
        <w:rPr>
          <w:rFonts w:ascii="Times New Roman" w:hAnsi="Times New Roman" w:cs="Times New Roman"/>
        </w:rPr>
        <w:t xml:space="preserve">hin and Michael Edson Robinson </w:t>
      </w:r>
      <w:r w:rsidRPr="00AB383B">
        <w:rPr>
          <w:rFonts w:ascii="Times New Roman" w:hAnsi="Times New Roman" w:cs="Times New Roman"/>
        </w:rPr>
        <w:t>Boston: Harva</w:t>
      </w:r>
      <w:r>
        <w:rPr>
          <w:rFonts w:ascii="Times New Roman" w:hAnsi="Times New Roman" w:cs="Times New Roman"/>
        </w:rPr>
        <w:t>rd University Asia Center, 1999</w:t>
      </w:r>
      <w:r w:rsidR="00D61F6D">
        <w:rPr>
          <w:rFonts w:ascii="Times New Roman" w:hAnsi="Times New Roman" w:cs="Times New Roman"/>
        </w:rPr>
        <w:t>, 288-310</w:t>
      </w:r>
      <w:r w:rsidRPr="00AB383B">
        <w:rPr>
          <w:rFonts w:ascii="Times New Roman" w:hAnsi="Times New Roman" w:cs="Times New Roman"/>
        </w:rPr>
        <w:t>.</w:t>
      </w:r>
    </w:p>
    <w:p w14:paraId="5FDAD015" w14:textId="77777777" w:rsidR="00801940" w:rsidRDefault="00801940" w:rsidP="00280C35">
      <w:pPr>
        <w:ind w:left="720" w:hanging="720"/>
      </w:pPr>
    </w:p>
    <w:p w14:paraId="7A7873F4" w14:textId="610554B1" w:rsidR="00210EC9" w:rsidRDefault="00210EC9" w:rsidP="00280C35">
      <w:pPr>
        <w:ind w:left="720" w:hanging="720"/>
      </w:pPr>
      <w:proofErr w:type="spellStart"/>
      <w:r w:rsidRPr="00AB383B">
        <w:t>Titon</w:t>
      </w:r>
      <w:proofErr w:type="spellEnd"/>
      <w:r w:rsidRPr="00AB383B">
        <w:t>,</w:t>
      </w:r>
      <w:r w:rsidRPr="00210EC9">
        <w:t xml:space="preserve"> </w:t>
      </w:r>
      <w:r w:rsidRPr="00AB383B">
        <w:t>Jeff Todd</w:t>
      </w:r>
      <w:r>
        <w:t>. “Music, Folk and Traditional.” I</w:t>
      </w:r>
      <w:r w:rsidRPr="00AB383B">
        <w:t xml:space="preserve">n </w:t>
      </w:r>
      <w:r w:rsidRPr="00AB383B">
        <w:rPr>
          <w:i/>
        </w:rPr>
        <w:t>Folklore, Cultural Performances, and Popular Entertainments</w:t>
      </w:r>
      <w:r>
        <w:t xml:space="preserve">. Edited by Richard Bauman </w:t>
      </w:r>
      <w:r w:rsidRPr="00AB383B">
        <w:t>New York:</w:t>
      </w:r>
      <w:r>
        <w:t xml:space="preserve"> Oxford University Press, 1992</w:t>
      </w:r>
      <w:r w:rsidR="004340A3">
        <w:t>, 167-171.</w:t>
      </w:r>
    </w:p>
    <w:p w14:paraId="686D9D08" w14:textId="77777777" w:rsidR="00801940" w:rsidRDefault="00801940" w:rsidP="00280C35">
      <w:pPr>
        <w:ind w:left="720" w:hanging="720"/>
      </w:pPr>
    </w:p>
    <w:p w14:paraId="7B966B72" w14:textId="601AA6F9" w:rsidR="00EA7DC6" w:rsidRDefault="00EA7DC6" w:rsidP="00280C35">
      <w:pPr>
        <w:ind w:left="720" w:hanging="720"/>
      </w:pPr>
      <w:r w:rsidRPr="009F35FF">
        <w:t>Tranter,</w:t>
      </w:r>
      <w:r w:rsidRPr="00EA7DC6">
        <w:t xml:space="preserve"> </w:t>
      </w:r>
      <w:r w:rsidRPr="009F35FF">
        <w:t>Nigel</w:t>
      </w:r>
      <w:r>
        <w:t>.</w:t>
      </w:r>
      <w:r w:rsidRPr="009F35FF">
        <w:t xml:space="preserve"> “Foreword</w:t>
      </w:r>
      <w:r>
        <w:t>.” I</w:t>
      </w:r>
      <w:r w:rsidRPr="009F35FF">
        <w:t xml:space="preserve">n </w:t>
      </w:r>
      <w:proofErr w:type="gramStart"/>
      <w:r w:rsidRPr="009F35FF">
        <w:rPr>
          <w:i/>
        </w:rPr>
        <w:t>The</w:t>
      </w:r>
      <w:proofErr w:type="gramEnd"/>
      <w:r w:rsidRPr="009F35FF">
        <w:rPr>
          <w:i/>
        </w:rPr>
        <w:t xml:space="preserve"> Growth of Nationalism in Scotland</w:t>
      </w:r>
      <w:r>
        <w:t xml:space="preserve">. By Keith Webb </w:t>
      </w:r>
      <w:r w:rsidRPr="009F35FF">
        <w:t>Glas</w:t>
      </w:r>
      <w:r>
        <w:t xml:space="preserve">gow: The </w:t>
      </w:r>
      <w:proofErr w:type="spellStart"/>
      <w:r>
        <w:t>Molendinar</w:t>
      </w:r>
      <w:proofErr w:type="spellEnd"/>
      <w:r>
        <w:t xml:space="preserve"> Press, </w:t>
      </w:r>
      <w:proofErr w:type="gramStart"/>
      <w:r>
        <w:t>1977</w:t>
      </w:r>
      <w:r w:rsidRPr="009F35FF">
        <w:t>,</w:t>
      </w:r>
      <w:r>
        <w:t>v</w:t>
      </w:r>
      <w:proofErr w:type="gramEnd"/>
      <w:r>
        <w:t>-</w:t>
      </w:r>
      <w:r w:rsidRPr="009F35FF">
        <w:t>vi</w:t>
      </w:r>
      <w:r>
        <w:t>i</w:t>
      </w:r>
      <w:r w:rsidRPr="009F35FF">
        <w:t>.</w:t>
      </w:r>
    </w:p>
    <w:p w14:paraId="502E1FDC" w14:textId="77777777" w:rsidR="00801940" w:rsidRDefault="00801940" w:rsidP="00280C35">
      <w:pPr>
        <w:ind w:left="720" w:hanging="720"/>
      </w:pPr>
    </w:p>
    <w:p w14:paraId="44429814" w14:textId="55000929" w:rsidR="00902074" w:rsidRDefault="00902074" w:rsidP="00280C35">
      <w:pPr>
        <w:ind w:left="720" w:hanging="720"/>
      </w:pPr>
      <w:r w:rsidRPr="009F35FF">
        <w:t xml:space="preserve">Van </w:t>
      </w:r>
      <w:proofErr w:type="spellStart"/>
      <w:r w:rsidRPr="009F35FF">
        <w:t>Ginderachter</w:t>
      </w:r>
      <w:proofErr w:type="spellEnd"/>
      <w:r>
        <w:t xml:space="preserve">, </w:t>
      </w:r>
      <w:r w:rsidRPr="009F35FF">
        <w:t>Maarten</w:t>
      </w:r>
      <w:r>
        <w:t xml:space="preserve"> and </w:t>
      </w:r>
      <w:proofErr w:type="spellStart"/>
      <w:r>
        <w:t>Joep</w:t>
      </w:r>
      <w:proofErr w:type="spellEnd"/>
      <w:r>
        <w:t xml:space="preserve"> </w:t>
      </w:r>
      <w:proofErr w:type="spellStart"/>
      <w:r>
        <w:t>Leerssen</w:t>
      </w:r>
      <w:proofErr w:type="spellEnd"/>
      <w:r>
        <w:t>.</w:t>
      </w:r>
      <w:r w:rsidRPr="009F35FF">
        <w:t xml:space="preserve"> “Denied </w:t>
      </w:r>
      <w:proofErr w:type="spellStart"/>
      <w:r w:rsidRPr="009F35FF">
        <w:t>ethnicism</w:t>
      </w:r>
      <w:proofErr w:type="spellEnd"/>
      <w:r w:rsidRPr="009F35FF">
        <w:t xml:space="preserve">: on </w:t>
      </w:r>
      <w:r>
        <w:t>the Walloon movement in Belgium.</w:t>
      </w:r>
      <w:r w:rsidRPr="009F35FF">
        <w:t xml:space="preserve">” </w:t>
      </w:r>
      <w:r w:rsidRPr="009F35FF">
        <w:rPr>
          <w:i/>
        </w:rPr>
        <w:t>Nations and Nationalism</w:t>
      </w:r>
      <w:r w:rsidRPr="009F35FF">
        <w:t xml:space="preserve"> 18 no. 2 (2012):</w:t>
      </w:r>
      <w:r>
        <w:t xml:space="preserve"> 230-246</w:t>
      </w:r>
      <w:r w:rsidRPr="009F35FF">
        <w:t>.</w:t>
      </w:r>
    </w:p>
    <w:p w14:paraId="1489209A" w14:textId="77777777" w:rsidR="00801940" w:rsidRDefault="00801940" w:rsidP="00280C35">
      <w:pPr>
        <w:ind w:left="720" w:hanging="720"/>
      </w:pPr>
    </w:p>
    <w:p w14:paraId="71E139DF" w14:textId="0A168127" w:rsidR="0097326E" w:rsidRDefault="0097326E" w:rsidP="00280C35">
      <w:pPr>
        <w:ind w:left="720" w:hanging="720"/>
      </w:pPr>
      <w:r w:rsidRPr="00AB383B">
        <w:lastRenderedPageBreak/>
        <w:t xml:space="preserve">Van </w:t>
      </w:r>
      <w:proofErr w:type="spellStart"/>
      <w:r w:rsidRPr="00AB383B">
        <w:t>Ryswuck</w:t>
      </w:r>
      <w:proofErr w:type="spellEnd"/>
      <w:r w:rsidRPr="00AB383B">
        <w:t>,</w:t>
      </w:r>
      <w:r w:rsidRPr="0097326E">
        <w:t xml:space="preserve"> </w:t>
      </w:r>
      <w:r w:rsidRPr="00AB383B">
        <w:t>Jan Baptist</w:t>
      </w:r>
      <w:r>
        <w:t>.</w:t>
      </w:r>
      <w:r w:rsidRPr="00AB383B">
        <w:t xml:space="preserve"> “Public Statement by the Netherlandish Association for the Arts, </w:t>
      </w:r>
      <w:proofErr w:type="gramStart"/>
      <w:r w:rsidRPr="00AB383B">
        <w:t>on the Occasion of</w:t>
      </w:r>
      <w:proofErr w:type="gramEnd"/>
      <w:r w:rsidRPr="00AB383B">
        <w:t xml:space="preserve"> the 25</w:t>
      </w:r>
      <w:r w:rsidRPr="00AB383B">
        <w:rPr>
          <w:vertAlign w:val="superscript"/>
        </w:rPr>
        <w:t>th</w:t>
      </w:r>
      <w:r w:rsidRPr="00AB383B">
        <w:t xml:space="preserve"> Anniversary of the Sovereign’s Accession</w:t>
      </w:r>
      <w:r>
        <w:t>.” I</w:t>
      </w:r>
      <w:r w:rsidRPr="00AB383B">
        <w:t xml:space="preserve">n </w:t>
      </w:r>
      <w:proofErr w:type="gramStart"/>
      <w:r w:rsidRPr="00AB383B">
        <w:rPr>
          <w:i/>
        </w:rPr>
        <w:t>The</w:t>
      </w:r>
      <w:proofErr w:type="gramEnd"/>
      <w:r w:rsidRPr="00AB383B">
        <w:rPr>
          <w:i/>
        </w:rPr>
        <w:t xml:space="preserve"> Flemish Movement: A Documentary History</w:t>
      </w:r>
      <w:r>
        <w:t xml:space="preserve">. Edited by Theo </w:t>
      </w:r>
      <w:proofErr w:type="spellStart"/>
      <w:r>
        <w:t>Hermans</w:t>
      </w:r>
      <w:proofErr w:type="spellEnd"/>
      <w:r>
        <w:t xml:space="preserve">, Co-edited by Louis </w:t>
      </w:r>
      <w:proofErr w:type="spellStart"/>
      <w:r>
        <w:t>Vos</w:t>
      </w:r>
      <w:proofErr w:type="spellEnd"/>
      <w:r>
        <w:t xml:space="preserve"> and Lode </w:t>
      </w:r>
      <w:proofErr w:type="spellStart"/>
      <w:r>
        <w:t>Wils</w:t>
      </w:r>
      <w:proofErr w:type="spellEnd"/>
      <w:r>
        <w:t xml:space="preserve"> </w:t>
      </w:r>
      <w:r w:rsidRPr="00AB383B">
        <w:t>Londo</w:t>
      </w:r>
      <w:r>
        <w:t xml:space="preserve">n: The </w:t>
      </w:r>
      <w:proofErr w:type="spellStart"/>
      <w:r>
        <w:t>Athlone</w:t>
      </w:r>
      <w:proofErr w:type="spellEnd"/>
      <w:r>
        <w:t xml:space="preserve"> Press, 1992, 122-124.</w:t>
      </w:r>
    </w:p>
    <w:p w14:paraId="6BB47A13" w14:textId="77777777" w:rsidR="00801940" w:rsidRDefault="00801940" w:rsidP="00280C35">
      <w:pPr>
        <w:ind w:left="720" w:hanging="720"/>
      </w:pPr>
    </w:p>
    <w:p w14:paraId="7F8B950C" w14:textId="4FAEE794" w:rsidR="003D7966" w:rsidRDefault="003D7966" w:rsidP="00280C35">
      <w:pPr>
        <w:ind w:left="720" w:hanging="720"/>
      </w:pPr>
      <w:r w:rsidRPr="00AB383B">
        <w:t>Watson, Fiona</w:t>
      </w:r>
      <w:r>
        <w:t>.</w:t>
      </w:r>
      <w:r w:rsidRPr="00AB383B">
        <w:t xml:space="preserve"> “The Wars of Independence</w:t>
      </w:r>
      <w:r>
        <w:t>.” I</w:t>
      </w:r>
      <w:r w:rsidRPr="00AB383B">
        <w:t xml:space="preserve">n </w:t>
      </w:r>
      <w:proofErr w:type="gramStart"/>
      <w:r w:rsidRPr="00AB383B">
        <w:rPr>
          <w:i/>
        </w:rPr>
        <w:t>In</w:t>
      </w:r>
      <w:proofErr w:type="gramEnd"/>
      <w:r w:rsidRPr="00AB383B">
        <w:rPr>
          <w:i/>
        </w:rPr>
        <w:t xml:space="preserve"> Search of Scotland</w:t>
      </w:r>
      <w:r w:rsidRPr="00AB383B">
        <w:t xml:space="preserve"> </w:t>
      </w:r>
      <w:r>
        <w:t>Edited by Gordon Menzies Edinburgh: Polygon Press, 2001, 65-85.</w:t>
      </w:r>
    </w:p>
    <w:p w14:paraId="05BC2BB5" w14:textId="77777777" w:rsidR="00801940" w:rsidRDefault="00801940" w:rsidP="00280C35">
      <w:pPr>
        <w:ind w:left="720" w:hanging="720"/>
      </w:pPr>
    </w:p>
    <w:p w14:paraId="31569F2C" w14:textId="0D1973F6" w:rsidR="00C81DE3" w:rsidRDefault="00C81DE3" w:rsidP="00280C35">
      <w:pPr>
        <w:ind w:left="720" w:hanging="720"/>
      </w:pPr>
      <w:r>
        <w:t>Watson</w:t>
      </w:r>
      <w:r w:rsidRPr="009F35FF">
        <w:t>,</w:t>
      </w:r>
      <w:r w:rsidRPr="00C81DE3">
        <w:t xml:space="preserve"> </w:t>
      </w:r>
      <w:r>
        <w:t>Roderick.</w:t>
      </w:r>
      <w:r w:rsidRPr="009F35FF">
        <w:t xml:space="preserve"> “</w:t>
      </w:r>
      <w:r>
        <w:t>Living with the Double Tongue: Modern Poetry in Scots.” I</w:t>
      </w:r>
      <w:r w:rsidRPr="009F35FF">
        <w:t xml:space="preserve">n </w:t>
      </w:r>
      <w:proofErr w:type="gramStart"/>
      <w:r w:rsidRPr="009F35FF">
        <w:rPr>
          <w:i/>
        </w:rPr>
        <w:t>The</w:t>
      </w:r>
      <w:proofErr w:type="gramEnd"/>
      <w:r w:rsidRPr="009F35FF">
        <w:rPr>
          <w:i/>
        </w:rPr>
        <w:t xml:space="preserve"> Edinburgh History of Scottish</w:t>
      </w:r>
      <w:r>
        <w:rPr>
          <w:i/>
        </w:rPr>
        <w:t xml:space="preserve"> Literature</w:t>
      </w:r>
      <w:r w:rsidRPr="009F35FF">
        <w:rPr>
          <w:i/>
        </w:rPr>
        <w:t xml:space="preserve"> Volume 3 Modern Transformations: New Identities (from 1918)</w:t>
      </w:r>
      <w:r>
        <w:t>. Edited by Ian Brown Co-edited by</w:t>
      </w:r>
      <w:r w:rsidRPr="009F35FF">
        <w:t xml:space="preserve"> Thomas Owen Clancy, Susan Manning and Murray </w:t>
      </w:r>
      <w:proofErr w:type="spellStart"/>
      <w:r w:rsidRPr="009F35FF">
        <w:t>Pittock</w:t>
      </w:r>
      <w:proofErr w:type="spellEnd"/>
      <w:r>
        <w:t>.</w:t>
      </w:r>
      <w:r w:rsidRPr="009F35FF">
        <w:t xml:space="preserve"> Edinburgh: E</w:t>
      </w:r>
      <w:r w:rsidR="00CA419C">
        <w:t>dinburgh University Press, 2007</w:t>
      </w:r>
      <w:r w:rsidRPr="009F35FF">
        <w:t xml:space="preserve">, </w:t>
      </w:r>
      <w:r>
        <w:t>163-175</w:t>
      </w:r>
      <w:r w:rsidRPr="009F35FF">
        <w:t>.</w:t>
      </w:r>
    </w:p>
    <w:p w14:paraId="1EE57B86" w14:textId="77777777" w:rsidR="00801940" w:rsidRDefault="00801940" w:rsidP="00A17789">
      <w:pPr>
        <w:pStyle w:val="FootnoteText"/>
        <w:rPr>
          <w:rFonts w:ascii="Times New Roman" w:hAnsi="Times New Roman" w:cs="Times New Roman"/>
        </w:rPr>
      </w:pPr>
    </w:p>
    <w:p w14:paraId="6EC71ADA" w14:textId="3E295A95" w:rsidR="00A17789" w:rsidRPr="00A17789" w:rsidRDefault="00A17789" w:rsidP="00A17789">
      <w:pPr>
        <w:pStyle w:val="FootnoteText"/>
        <w:rPr>
          <w:rFonts w:ascii="Times New Roman" w:hAnsi="Times New Roman" w:cs="Times New Roman"/>
        </w:rPr>
      </w:pPr>
      <w:r w:rsidRPr="009F35FF">
        <w:rPr>
          <w:rFonts w:ascii="Times New Roman" w:hAnsi="Times New Roman" w:cs="Times New Roman"/>
        </w:rPr>
        <w:t>Webb,</w:t>
      </w:r>
      <w:r w:rsidRPr="00A17789">
        <w:rPr>
          <w:rFonts w:ascii="Times New Roman" w:hAnsi="Times New Roman" w:cs="Times New Roman"/>
        </w:rPr>
        <w:t xml:space="preserve"> </w:t>
      </w:r>
      <w:r w:rsidRPr="009F35FF">
        <w:rPr>
          <w:rFonts w:ascii="Times New Roman" w:hAnsi="Times New Roman" w:cs="Times New Roman"/>
        </w:rPr>
        <w:t>Keith</w:t>
      </w:r>
      <w:r>
        <w:rPr>
          <w:rFonts w:ascii="Times New Roman" w:hAnsi="Times New Roman" w:cs="Times New Roman"/>
        </w:rPr>
        <w:t>.</w:t>
      </w:r>
      <w:r w:rsidRPr="009F35FF">
        <w:rPr>
          <w:rFonts w:ascii="Times New Roman" w:hAnsi="Times New Roman" w:cs="Times New Roman"/>
        </w:rPr>
        <w:t xml:space="preserve"> </w:t>
      </w:r>
      <w:r w:rsidRPr="009F35FF">
        <w:rPr>
          <w:rFonts w:ascii="Times New Roman" w:hAnsi="Times New Roman" w:cs="Times New Roman"/>
          <w:i/>
        </w:rPr>
        <w:t>The Growth of Nationalism</w:t>
      </w:r>
      <w:r>
        <w:rPr>
          <w:rFonts w:ascii="Times New Roman" w:hAnsi="Times New Roman" w:cs="Times New Roman"/>
          <w:i/>
        </w:rPr>
        <w:t xml:space="preserve"> in Scotland</w:t>
      </w:r>
      <w:r>
        <w:rPr>
          <w:rFonts w:ascii="Times New Roman" w:hAnsi="Times New Roman" w:cs="Times New Roman"/>
        </w:rPr>
        <w:t xml:space="preserve">. </w:t>
      </w:r>
      <w:r w:rsidRPr="009F35FF">
        <w:rPr>
          <w:rFonts w:ascii="Times New Roman" w:hAnsi="Times New Roman" w:cs="Times New Roman"/>
        </w:rPr>
        <w:t>Glasg</w:t>
      </w:r>
      <w:r>
        <w:rPr>
          <w:rFonts w:ascii="Times New Roman" w:hAnsi="Times New Roman" w:cs="Times New Roman"/>
        </w:rPr>
        <w:t xml:space="preserve">ow: The </w:t>
      </w:r>
      <w:proofErr w:type="spellStart"/>
      <w:r>
        <w:rPr>
          <w:rFonts w:ascii="Times New Roman" w:hAnsi="Times New Roman" w:cs="Times New Roman"/>
        </w:rPr>
        <w:t>Molendinar</w:t>
      </w:r>
      <w:proofErr w:type="spellEnd"/>
      <w:r>
        <w:rPr>
          <w:rFonts w:ascii="Times New Roman" w:hAnsi="Times New Roman" w:cs="Times New Roman"/>
        </w:rPr>
        <w:t xml:space="preserve"> Press, 1977.</w:t>
      </w:r>
    </w:p>
    <w:p w14:paraId="64C08311" w14:textId="77777777" w:rsidR="00801940" w:rsidRDefault="00801940" w:rsidP="00280C35">
      <w:pPr>
        <w:ind w:left="720" w:hanging="720"/>
      </w:pPr>
    </w:p>
    <w:p w14:paraId="31885434" w14:textId="7D9E8C8B" w:rsidR="00043C7B" w:rsidRDefault="000F2E24" w:rsidP="00280C35">
      <w:pPr>
        <w:ind w:left="720" w:hanging="720"/>
      </w:pPr>
      <w:r w:rsidRPr="00AC639C">
        <w:t>Willems,</w:t>
      </w:r>
      <w:r w:rsidRPr="000F2E24">
        <w:t xml:space="preserve"> </w:t>
      </w:r>
      <w:r w:rsidRPr="00AC639C">
        <w:t xml:space="preserve">Jan </w:t>
      </w:r>
      <w:proofErr w:type="spellStart"/>
      <w:r w:rsidRPr="00AC639C">
        <w:t>Frans</w:t>
      </w:r>
      <w:proofErr w:type="spellEnd"/>
      <w:r>
        <w:t>.</w:t>
      </w:r>
      <w:r w:rsidRPr="00AC639C">
        <w:t xml:space="preserve"> “’Preface’ to </w:t>
      </w:r>
      <w:r w:rsidRPr="00AC639C">
        <w:rPr>
          <w:i/>
        </w:rPr>
        <w:t>Reynard the Fox</w:t>
      </w:r>
      <w:r>
        <w:t>.” I</w:t>
      </w:r>
      <w:r w:rsidRPr="00AC639C">
        <w:t xml:space="preserve">n </w:t>
      </w:r>
      <w:proofErr w:type="gramStart"/>
      <w:r w:rsidRPr="00AC639C">
        <w:rPr>
          <w:i/>
        </w:rPr>
        <w:t>The</w:t>
      </w:r>
      <w:proofErr w:type="gramEnd"/>
      <w:r w:rsidRPr="00AC639C">
        <w:rPr>
          <w:i/>
        </w:rPr>
        <w:t xml:space="preserve"> Flemish Movement: A Documentary History</w:t>
      </w:r>
      <w:r>
        <w:t xml:space="preserve">. Edited by Theo </w:t>
      </w:r>
      <w:proofErr w:type="spellStart"/>
      <w:r>
        <w:t>Hermans</w:t>
      </w:r>
      <w:proofErr w:type="spellEnd"/>
      <w:r>
        <w:t xml:space="preserve"> Co-edited by Louis </w:t>
      </w:r>
      <w:proofErr w:type="spellStart"/>
      <w:r>
        <w:t>Vos</w:t>
      </w:r>
      <w:proofErr w:type="spellEnd"/>
      <w:r>
        <w:t xml:space="preserve"> and Lode </w:t>
      </w:r>
      <w:proofErr w:type="spellStart"/>
      <w:r>
        <w:t>Wils</w:t>
      </w:r>
      <w:proofErr w:type="spellEnd"/>
      <w:r>
        <w:t xml:space="preserve">. </w:t>
      </w:r>
      <w:r w:rsidRPr="00AC639C">
        <w:t>Lo</w:t>
      </w:r>
      <w:r>
        <w:t xml:space="preserve">ndon: The </w:t>
      </w:r>
      <w:proofErr w:type="spellStart"/>
      <w:r>
        <w:t>Athlone</w:t>
      </w:r>
      <w:proofErr w:type="spellEnd"/>
      <w:r>
        <w:t xml:space="preserve"> Press, 1992, 84-85</w:t>
      </w:r>
      <w:r w:rsidRPr="00AC639C">
        <w:t>.</w:t>
      </w:r>
    </w:p>
    <w:p w14:paraId="487116A4" w14:textId="77777777" w:rsidR="00801940" w:rsidRDefault="00801940" w:rsidP="00280C35">
      <w:pPr>
        <w:ind w:left="720" w:hanging="720"/>
      </w:pPr>
    </w:p>
    <w:p w14:paraId="6A7E0614" w14:textId="4D649F9F" w:rsidR="000963C3" w:rsidRDefault="00801940" w:rsidP="00280C35">
      <w:pPr>
        <w:ind w:left="720" w:hanging="720"/>
      </w:pPr>
      <w:r>
        <w:t>---</w:t>
      </w:r>
      <w:r w:rsidR="000963C3">
        <w:t>.</w:t>
      </w:r>
      <w:r w:rsidR="000963C3" w:rsidRPr="00AB383B">
        <w:t xml:space="preserve"> “Speech delivered at the Flemish Festival</w:t>
      </w:r>
      <w:r w:rsidR="000963C3">
        <w:t>.” I</w:t>
      </w:r>
      <w:r w:rsidR="000963C3" w:rsidRPr="00AB383B">
        <w:t xml:space="preserve">n </w:t>
      </w:r>
      <w:proofErr w:type="gramStart"/>
      <w:r w:rsidR="000963C3" w:rsidRPr="00AB383B">
        <w:rPr>
          <w:i/>
        </w:rPr>
        <w:t>The</w:t>
      </w:r>
      <w:proofErr w:type="gramEnd"/>
      <w:r w:rsidR="000963C3" w:rsidRPr="00AB383B">
        <w:rPr>
          <w:i/>
        </w:rPr>
        <w:t xml:space="preserve"> Flemish Movement: A Documentary History</w:t>
      </w:r>
      <w:r w:rsidR="000963C3">
        <w:t xml:space="preserve">. Edited by Theo </w:t>
      </w:r>
      <w:proofErr w:type="spellStart"/>
      <w:r w:rsidR="000963C3">
        <w:t>Hermans</w:t>
      </w:r>
      <w:proofErr w:type="spellEnd"/>
      <w:r w:rsidR="000963C3">
        <w:t xml:space="preserve">, Co-edited by Louis </w:t>
      </w:r>
      <w:proofErr w:type="spellStart"/>
      <w:r w:rsidR="000963C3">
        <w:t>Vos</w:t>
      </w:r>
      <w:proofErr w:type="spellEnd"/>
      <w:r w:rsidR="000963C3">
        <w:t xml:space="preserve"> and Lode </w:t>
      </w:r>
      <w:proofErr w:type="spellStart"/>
      <w:r w:rsidR="000963C3">
        <w:t>Wils</w:t>
      </w:r>
      <w:proofErr w:type="spellEnd"/>
      <w:r w:rsidR="000963C3">
        <w:t xml:space="preserve"> London: The </w:t>
      </w:r>
      <w:proofErr w:type="spellStart"/>
      <w:r w:rsidR="000963C3">
        <w:t>Athlone</w:t>
      </w:r>
      <w:proofErr w:type="spellEnd"/>
      <w:r w:rsidR="000963C3">
        <w:t xml:space="preserve"> Press, 1992</w:t>
      </w:r>
      <w:r w:rsidR="000963C3" w:rsidRPr="00AB383B">
        <w:t>,</w:t>
      </w:r>
      <w:r w:rsidR="000963C3">
        <w:t xml:space="preserve"> 98-102.</w:t>
      </w:r>
    </w:p>
    <w:p w14:paraId="284C7207" w14:textId="77777777" w:rsidR="00801940" w:rsidRDefault="00801940" w:rsidP="00280C35">
      <w:pPr>
        <w:ind w:left="720" w:hanging="720"/>
      </w:pPr>
    </w:p>
    <w:p w14:paraId="154AC6ED" w14:textId="5BA95F5D" w:rsidR="006E5E44" w:rsidRDefault="006E5E44" w:rsidP="00280C35">
      <w:pPr>
        <w:ind w:left="720" w:hanging="720"/>
      </w:pPr>
      <w:proofErr w:type="spellStart"/>
      <w:r w:rsidRPr="00AB383B">
        <w:t>Wils</w:t>
      </w:r>
      <w:proofErr w:type="spellEnd"/>
      <w:r w:rsidRPr="00AB383B">
        <w:t>,</w:t>
      </w:r>
      <w:r w:rsidRPr="006E5E44">
        <w:t xml:space="preserve"> </w:t>
      </w:r>
      <w:r w:rsidRPr="00AB383B">
        <w:t>Lode</w:t>
      </w:r>
      <w:r>
        <w:t>.</w:t>
      </w:r>
      <w:r w:rsidRPr="00AB383B">
        <w:t xml:space="preserve"> “A Brief </w:t>
      </w:r>
      <w:r>
        <w:t>History of the Flemish Movement.” I</w:t>
      </w:r>
      <w:r w:rsidRPr="00AB383B">
        <w:t xml:space="preserve">n </w:t>
      </w:r>
      <w:proofErr w:type="gramStart"/>
      <w:r w:rsidRPr="00AB383B">
        <w:rPr>
          <w:i/>
        </w:rPr>
        <w:t>The</w:t>
      </w:r>
      <w:proofErr w:type="gramEnd"/>
      <w:r w:rsidRPr="00AB383B">
        <w:rPr>
          <w:i/>
        </w:rPr>
        <w:t xml:space="preserve"> Flemish Movement: A Documentary History</w:t>
      </w:r>
      <w:r>
        <w:t xml:space="preserve"> Edited by Theo </w:t>
      </w:r>
      <w:proofErr w:type="spellStart"/>
      <w:r>
        <w:t>Hermans</w:t>
      </w:r>
      <w:proofErr w:type="spellEnd"/>
      <w:r>
        <w:t xml:space="preserve">, Co-edited by Louis </w:t>
      </w:r>
      <w:proofErr w:type="spellStart"/>
      <w:r>
        <w:t>Vos</w:t>
      </w:r>
      <w:proofErr w:type="spellEnd"/>
      <w:r>
        <w:t xml:space="preserve"> and Lode </w:t>
      </w:r>
      <w:proofErr w:type="spellStart"/>
      <w:r>
        <w:t>Wils</w:t>
      </w:r>
      <w:proofErr w:type="spellEnd"/>
      <w:r>
        <w:t xml:space="preserve"> </w:t>
      </w:r>
      <w:r w:rsidRPr="00AB383B">
        <w:t>L</w:t>
      </w:r>
      <w:r>
        <w:t xml:space="preserve">ondon: The </w:t>
      </w:r>
      <w:proofErr w:type="spellStart"/>
      <w:r>
        <w:t>Athlone</w:t>
      </w:r>
      <w:proofErr w:type="spellEnd"/>
      <w:r>
        <w:t xml:space="preserve"> Press, 1992, 1-40.</w:t>
      </w:r>
    </w:p>
    <w:p w14:paraId="17BF332A" w14:textId="77777777" w:rsidR="00801940" w:rsidRDefault="00801940" w:rsidP="00280C35">
      <w:pPr>
        <w:ind w:left="720" w:hanging="720"/>
      </w:pPr>
    </w:p>
    <w:p w14:paraId="08FAA3BF" w14:textId="78C7D8D5" w:rsidR="00921E06" w:rsidRPr="00043C7B" w:rsidRDefault="00921E06" w:rsidP="00280C35">
      <w:pPr>
        <w:ind w:left="720" w:hanging="720"/>
      </w:pPr>
      <w:r w:rsidRPr="009F35FF">
        <w:t>Wolfe, Billy</w:t>
      </w:r>
      <w:r>
        <w:t>.</w:t>
      </w:r>
      <w:r w:rsidRPr="009F35FF">
        <w:t xml:space="preserve"> </w:t>
      </w:r>
      <w:r w:rsidRPr="009F35FF">
        <w:rPr>
          <w:i/>
        </w:rPr>
        <w:t>Scotland Lives: The Quest for Independence</w:t>
      </w:r>
      <w:r>
        <w:t xml:space="preserve">. </w:t>
      </w:r>
      <w:r w:rsidRPr="009F35FF">
        <w:t>Edinb</w:t>
      </w:r>
      <w:r>
        <w:t>urgh: Macdonald Printers, 1973</w:t>
      </w:r>
      <w:r w:rsidRPr="009F35FF">
        <w:t>.</w:t>
      </w:r>
    </w:p>
    <w:sectPr w:rsidR="00921E06" w:rsidRPr="00043C7B" w:rsidSect="0072543A">
      <w:headerReference w:type="even" r:id="rId7"/>
      <w:headerReference w:type="default" r:id="rId8"/>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ABE4F71" w14:textId="77777777" w:rsidR="00597FEC" w:rsidRDefault="00597FEC" w:rsidP="00961436">
      <w:r>
        <w:separator/>
      </w:r>
    </w:p>
  </w:endnote>
  <w:endnote w:type="continuationSeparator" w:id="0">
    <w:p w14:paraId="23E24F4F" w14:textId="77777777" w:rsidR="00597FEC" w:rsidRDefault="00597FEC" w:rsidP="0096143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auto"/>
    <w:pitch w:val="variable"/>
    <w:sig w:usb0="E00002FF" w:usb1="4000ACFF" w:usb2="00000001" w:usb3="00000000" w:csb0="0000019F" w:csb1="00000000"/>
  </w:font>
  <w:font w:name="Times New Roman">
    <w:panose1 w:val="02020603050405020304"/>
    <w:charset w:val="00"/>
    <w:family w:val="auto"/>
    <w:pitch w:val="variable"/>
    <w:sig w:usb0="E0002AEF" w:usb1="C0007841" w:usb2="00000009" w:usb3="00000000" w:csb0="000001FF" w:csb1="00000000"/>
  </w:font>
  <w:font w:name="Arial">
    <w:panose1 w:val="020B0604020202020204"/>
    <w:charset w:val="00"/>
    <w:family w:val="auto"/>
    <w:pitch w:val="variable"/>
    <w:sig w:usb0="E0002AFF" w:usb1="C0007843" w:usb2="00000009" w:usb3="00000000" w:csb0="000001FF" w:csb1="00000000"/>
  </w:font>
  <w:font w:name="Calibri Light">
    <w:panose1 w:val="020F0302020204030204"/>
    <w:charset w:val="00"/>
    <w:family w:val="auto"/>
    <w:pitch w:val="variable"/>
    <w:sig w:usb0="A00002EF" w:usb1="4000207B" w:usb2="00000000" w:usb3="00000000" w:csb0="000001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70C5EC6" w14:textId="77777777" w:rsidR="00597FEC" w:rsidRDefault="00597FEC" w:rsidP="00961436">
      <w:r>
        <w:separator/>
      </w:r>
    </w:p>
  </w:footnote>
  <w:footnote w:type="continuationSeparator" w:id="0">
    <w:p w14:paraId="64A1BFCE" w14:textId="77777777" w:rsidR="00597FEC" w:rsidRDefault="00597FEC" w:rsidP="00961436">
      <w:r>
        <w:continuationSeparator/>
      </w:r>
    </w:p>
  </w:footnote>
  <w:footnote w:id="1">
    <w:p w14:paraId="7E0B2F52" w14:textId="77777777" w:rsidR="00BC3EC4" w:rsidRPr="000E69D9" w:rsidRDefault="00BC3EC4" w:rsidP="00961436">
      <w:pPr>
        <w:pStyle w:val="FootnoteText"/>
        <w:rPr>
          <w:rFonts w:ascii="Times New Roman" w:hAnsi="Times New Roman" w:cs="Times New Roman"/>
        </w:rPr>
      </w:pPr>
      <w:r w:rsidRPr="00D5478D">
        <w:rPr>
          <w:rStyle w:val="FootnoteReference"/>
          <w:rFonts w:ascii="Times New Roman" w:hAnsi="Times New Roman" w:cs="Times New Roman"/>
        </w:rPr>
        <w:footnoteRef/>
      </w:r>
      <w:r w:rsidRPr="00D5478D">
        <w:rPr>
          <w:rFonts w:ascii="Times New Roman" w:hAnsi="Times New Roman" w:cs="Times New Roman"/>
        </w:rPr>
        <w:t xml:space="preserve"> </w:t>
      </w:r>
      <w:r>
        <w:rPr>
          <w:rFonts w:ascii="Times New Roman" w:hAnsi="Times New Roman" w:cs="Times New Roman"/>
        </w:rPr>
        <w:t>Fion</w:t>
      </w:r>
      <w:r w:rsidRPr="000E69D9">
        <w:rPr>
          <w:rFonts w:ascii="Times New Roman" w:hAnsi="Times New Roman" w:cs="Times New Roman"/>
        </w:rPr>
        <w:t xml:space="preserve">a Watson, “The Wars of Independence” in </w:t>
      </w:r>
      <w:r w:rsidRPr="000E69D9">
        <w:rPr>
          <w:rFonts w:ascii="Times New Roman" w:hAnsi="Times New Roman" w:cs="Times New Roman"/>
          <w:i/>
        </w:rPr>
        <w:t xml:space="preserve">In Search of Scotland </w:t>
      </w:r>
      <w:r w:rsidRPr="000E69D9">
        <w:rPr>
          <w:rFonts w:ascii="Times New Roman" w:hAnsi="Times New Roman" w:cs="Times New Roman"/>
        </w:rPr>
        <w:t>ed. Gordon Menzies</w:t>
      </w:r>
      <w:r w:rsidRPr="000E69D9">
        <w:rPr>
          <w:rFonts w:ascii="Times New Roman" w:hAnsi="Times New Roman" w:cs="Times New Roman"/>
          <w:i/>
        </w:rPr>
        <w:t xml:space="preserve"> </w:t>
      </w:r>
      <w:r w:rsidRPr="000E69D9">
        <w:rPr>
          <w:rFonts w:ascii="Times New Roman" w:hAnsi="Times New Roman" w:cs="Times New Roman"/>
        </w:rPr>
        <w:t>(Edinburgh: Polygon Press, 2001), 78.</w:t>
      </w:r>
    </w:p>
  </w:footnote>
  <w:footnote w:id="2">
    <w:p w14:paraId="0E236AB5" w14:textId="77777777" w:rsidR="00BC3EC4" w:rsidRPr="000E69D9" w:rsidRDefault="00BC3EC4" w:rsidP="00961436">
      <w:pPr>
        <w:pStyle w:val="FootnoteText"/>
        <w:rPr>
          <w:rFonts w:ascii="Times New Roman" w:hAnsi="Times New Roman" w:cs="Times New Roman"/>
        </w:rPr>
      </w:pPr>
      <w:r w:rsidRPr="000E69D9">
        <w:rPr>
          <w:rStyle w:val="FootnoteReference"/>
          <w:rFonts w:ascii="Times New Roman" w:hAnsi="Times New Roman" w:cs="Times New Roman"/>
        </w:rPr>
        <w:footnoteRef/>
      </w:r>
      <w:r w:rsidRPr="000E69D9">
        <w:rPr>
          <w:rFonts w:ascii="Times New Roman" w:hAnsi="Times New Roman" w:cs="Times New Roman"/>
        </w:rPr>
        <w:t xml:space="preserve"> Constitution Society, “The Declaration of </w:t>
      </w:r>
      <w:proofErr w:type="spellStart"/>
      <w:r w:rsidRPr="000E69D9">
        <w:rPr>
          <w:rFonts w:ascii="Times New Roman" w:hAnsi="Times New Roman" w:cs="Times New Roman"/>
        </w:rPr>
        <w:t>Arbroath</w:t>
      </w:r>
      <w:proofErr w:type="spellEnd"/>
      <w:r w:rsidRPr="000E69D9">
        <w:rPr>
          <w:rFonts w:ascii="Times New Roman" w:hAnsi="Times New Roman" w:cs="Times New Roman"/>
        </w:rPr>
        <w:t xml:space="preserve"> 1320 – English Translation,” accessed 12 November 2017, http://www.constitution.org/scot/arbroath.htm.</w:t>
      </w:r>
    </w:p>
  </w:footnote>
  <w:footnote w:id="3">
    <w:p w14:paraId="7FC1566D" w14:textId="77777777" w:rsidR="00BC3EC4" w:rsidRPr="000E69D9" w:rsidRDefault="00BC3EC4" w:rsidP="00961436">
      <w:pPr>
        <w:pStyle w:val="FootnoteText"/>
        <w:rPr>
          <w:rFonts w:ascii="Times New Roman" w:hAnsi="Times New Roman" w:cs="Times New Roman"/>
        </w:rPr>
      </w:pPr>
      <w:r w:rsidRPr="000E69D9">
        <w:rPr>
          <w:rStyle w:val="FootnoteReference"/>
          <w:rFonts w:ascii="Times New Roman" w:hAnsi="Times New Roman" w:cs="Times New Roman"/>
        </w:rPr>
        <w:footnoteRef/>
      </w:r>
      <w:r w:rsidRPr="000E69D9">
        <w:rPr>
          <w:rFonts w:ascii="Times New Roman" w:hAnsi="Times New Roman" w:cs="Times New Roman"/>
        </w:rPr>
        <w:t xml:space="preserve"> Ibid.</w:t>
      </w:r>
    </w:p>
  </w:footnote>
  <w:footnote w:id="4">
    <w:p w14:paraId="371D8809" w14:textId="77777777" w:rsidR="00BC3EC4" w:rsidRPr="000E69D9" w:rsidRDefault="00BC3EC4" w:rsidP="00961436">
      <w:pPr>
        <w:pStyle w:val="FootnoteText"/>
        <w:rPr>
          <w:rFonts w:ascii="Times New Roman" w:hAnsi="Times New Roman" w:cs="Times New Roman"/>
        </w:rPr>
      </w:pPr>
      <w:r w:rsidRPr="000E69D9">
        <w:rPr>
          <w:rStyle w:val="FootnoteReference"/>
          <w:rFonts w:ascii="Times New Roman" w:hAnsi="Times New Roman" w:cs="Times New Roman"/>
        </w:rPr>
        <w:footnoteRef/>
      </w:r>
      <w:r w:rsidRPr="000E69D9">
        <w:rPr>
          <w:rFonts w:ascii="Times New Roman" w:hAnsi="Times New Roman" w:cs="Times New Roman"/>
        </w:rPr>
        <w:t xml:space="preserve"> Michael Penman, </w:t>
      </w:r>
      <w:r w:rsidRPr="000E69D9">
        <w:rPr>
          <w:rFonts w:ascii="Times New Roman" w:hAnsi="Times New Roman" w:cs="Times New Roman"/>
          <w:i/>
        </w:rPr>
        <w:t>Robert the Bruce: King of the Scots</w:t>
      </w:r>
      <w:r w:rsidRPr="000E69D9">
        <w:rPr>
          <w:rFonts w:ascii="Times New Roman" w:hAnsi="Times New Roman" w:cs="Times New Roman"/>
        </w:rPr>
        <w:t xml:space="preserve"> (New Haven: Yale University Press, 2014), 217.</w:t>
      </w:r>
    </w:p>
  </w:footnote>
  <w:footnote w:id="5">
    <w:p w14:paraId="02F8A59A" w14:textId="77777777" w:rsidR="00BC3EC4" w:rsidRPr="000E69D9" w:rsidRDefault="00BC3EC4" w:rsidP="00961436">
      <w:pPr>
        <w:pStyle w:val="FootnoteText"/>
        <w:rPr>
          <w:rFonts w:ascii="Times New Roman" w:hAnsi="Times New Roman" w:cs="Times New Roman"/>
        </w:rPr>
      </w:pPr>
      <w:r w:rsidRPr="000E69D9">
        <w:rPr>
          <w:rStyle w:val="FootnoteReference"/>
          <w:rFonts w:ascii="Times New Roman" w:hAnsi="Times New Roman" w:cs="Times New Roman"/>
        </w:rPr>
        <w:footnoteRef/>
      </w:r>
      <w:r w:rsidRPr="000E69D9">
        <w:rPr>
          <w:rFonts w:ascii="Times New Roman" w:hAnsi="Times New Roman" w:cs="Times New Roman"/>
        </w:rPr>
        <w:t xml:space="preserve"> Neil Davidson, </w:t>
      </w:r>
      <w:r w:rsidRPr="000E69D9">
        <w:rPr>
          <w:rFonts w:ascii="Times New Roman" w:hAnsi="Times New Roman" w:cs="Times New Roman"/>
          <w:i/>
        </w:rPr>
        <w:t>The Origins of Scottish Nationhood</w:t>
      </w:r>
      <w:r w:rsidRPr="000E69D9">
        <w:rPr>
          <w:rFonts w:ascii="Times New Roman" w:hAnsi="Times New Roman" w:cs="Times New Roman"/>
        </w:rPr>
        <w:t xml:space="preserve"> (London: Pluto Press, 2000), 50.</w:t>
      </w:r>
    </w:p>
  </w:footnote>
  <w:footnote w:id="6">
    <w:p w14:paraId="17F5C0BE" w14:textId="77777777" w:rsidR="00BC3EC4" w:rsidRPr="000E69D9" w:rsidRDefault="00BC3EC4" w:rsidP="00961436">
      <w:pPr>
        <w:pStyle w:val="FootnoteText"/>
        <w:rPr>
          <w:rFonts w:ascii="Times New Roman" w:hAnsi="Times New Roman" w:cs="Times New Roman"/>
        </w:rPr>
      </w:pPr>
      <w:r w:rsidRPr="000E69D9">
        <w:rPr>
          <w:rStyle w:val="FootnoteReference"/>
          <w:rFonts w:ascii="Times New Roman" w:hAnsi="Times New Roman" w:cs="Times New Roman"/>
        </w:rPr>
        <w:footnoteRef/>
      </w:r>
      <w:r w:rsidRPr="000E69D9">
        <w:rPr>
          <w:rFonts w:ascii="Times New Roman" w:hAnsi="Times New Roman" w:cs="Times New Roman"/>
        </w:rPr>
        <w:t xml:space="preserve"> Susan Reynolds, </w:t>
      </w:r>
      <w:r w:rsidRPr="000E69D9">
        <w:rPr>
          <w:rFonts w:ascii="Times New Roman" w:hAnsi="Times New Roman" w:cs="Times New Roman"/>
          <w:i/>
        </w:rPr>
        <w:t>Kingdoms and Communities in Western Europe, 900-1300</w:t>
      </w:r>
      <w:r w:rsidRPr="000E69D9">
        <w:rPr>
          <w:rFonts w:ascii="Times New Roman" w:hAnsi="Times New Roman" w:cs="Times New Roman"/>
        </w:rPr>
        <w:t xml:space="preserve"> (Oxford: Oxford University Press, 1997), 274. </w:t>
      </w:r>
    </w:p>
  </w:footnote>
  <w:footnote w:id="7">
    <w:p w14:paraId="49EFEA8E" w14:textId="30DCF6F2" w:rsidR="00BC3EC4" w:rsidRPr="000E69D9" w:rsidRDefault="00BC3EC4" w:rsidP="00961436">
      <w:pPr>
        <w:pStyle w:val="FootnoteText"/>
        <w:rPr>
          <w:rFonts w:ascii="Times New Roman" w:hAnsi="Times New Roman" w:cs="Times New Roman"/>
        </w:rPr>
      </w:pPr>
      <w:r w:rsidRPr="000E69D9">
        <w:rPr>
          <w:rStyle w:val="FootnoteReference"/>
          <w:rFonts w:ascii="Times New Roman" w:hAnsi="Times New Roman" w:cs="Times New Roman"/>
        </w:rPr>
        <w:footnoteRef/>
      </w:r>
      <w:r w:rsidRPr="000E69D9">
        <w:rPr>
          <w:rFonts w:ascii="Times New Roman" w:hAnsi="Times New Roman" w:cs="Times New Roman"/>
        </w:rPr>
        <w:t xml:space="preserve"> Edward J. Cowan, </w:t>
      </w:r>
      <w:r w:rsidRPr="000E69D9">
        <w:rPr>
          <w:rFonts w:ascii="Times New Roman" w:hAnsi="Times New Roman" w:cs="Times New Roman"/>
          <w:i/>
        </w:rPr>
        <w:t xml:space="preserve">“For Freedom Alone”: The Declaration of </w:t>
      </w:r>
      <w:proofErr w:type="spellStart"/>
      <w:r w:rsidRPr="000E69D9">
        <w:rPr>
          <w:rFonts w:ascii="Times New Roman" w:hAnsi="Times New Roman" w:cs="Times New Roman"/>
          <w:i/>
        </w:rPr>
        <w:t>Arbroath</w:t>
      </w:r>
      <w:proofErr w:type="spellEnd"/>
      <w:r w:rsidRPr="000E69D9">
        <w:rPr>
          <w:rFonts w:ascii="Times New Roman" w:hAnsi="Times New Roman" w:cs="Times New Roman"/>
          <w:i/>
        </w:rPr>
        <w:t>, 1320</w:t>
      </w:r>
      <w:r>
        <w:rPr>
          <w:rFonts w:ascii="Times New Roman" w:hAnsi="Times New Roman" w:cs="Times New Roman"/>
        </w:rPr>
        <w:t xml:space="preserve"> (</w:t>
      </w:r>
      <w:r w:rsidRPr="000E69D9">
        <w:rPr>
          <w:rFonts w:ascii="Times New Roman" w:hAnsi="Times New Roman" w:cs="Times New Roman"/>
        </w:rPr>
        <w:t xml:space="preserve">East Linton, U.K.: </w:t>
      </w:r>
      <w:proofErr w:type="spellStart"/>
      <w:r w:rsidRPr="000E69D9">
        <w:rPr>
          <w:rFonts w:ascii="Times New Roman" w:hAnsi="Times New Roman" w:cs="Times New Roman"/>
        </w:rPr>
        <w:t>Tuckwell</w:t>
      </w:r>
      <w:proofErr w:type="spellEnd"/>
      <w:r w:rsidRPr="000E69D9">
        <w:rPr>
          <w:rFonts w:ascii="Times New Roman" w:hAnsi="Times New Roman" w:cs="Times New Roman"/>
        </w:rPr>
        <w:t xml:space="preserve"> Press, 2003), 1-2.</w:t>
      </w:r>
    </w:p>
  </w:footnote>
  <w:footnote w:id="8">
    <w:p w14:paraId="1406168A" w14:textId="77777777" w:rsidR="00BC3EC4" w:rsidRPr="000E69D9" w:rsidRDefault="00BC3EC4" w:rsidP="00961436">
      <w:pPr>
        <w:pStyle w:val="FootnoteText"/>
        <w:rPr>
          <w:rFonts w:ascii="Times New Roman" w:hAnsi="Times New Roman" w:cs="Times New Roman"/>
        </w:rPr>
      </w:pPr>
      <w:r w:rsidRPr="000E69D9">
        <w:rPr>
          <w:rStyle w:val="FootnoteReference"/>
          <w:rFonts w:ascii="Times New Roman" w:hAnsi="Times New Roman" w:cs="Times New Roman"/>
        </w:rPr>
        <w:footnoteRef/>
      </w:r>
      <w:r w:rsidRPr="000E69D9">
        <w:rPr>
          <w:rFonts w:ascii="Times New Roman" w:hAnsi="Times New Roman" w:cs="Times New Roman"/>
        </w:rPr>
        <w:t xml:space="preserve"> James Hunter, </w:t>
      </w:r>
      <w:r w:rsidRPr="000E69D9">
        <w:rPr>
          <w:rFonts w:ascii="Times New Roman" w:hAnsi="Times New Roman" w:cs="Times New Roman"/>
          <w:i/>
        </w:rPr>
        <w:t>Last of the Free: A Millennial History of the Highlands and Islands of Scotland</w:t>
      </w:r>
      <w:r w:rsidRPr="000E69D9">
        <w:rPr>
          <w:rFonts w:ascii="Times New Roman" w:hAnsi="Times New Roman" w:cs="Times New Roman"/>
        </w:rPr>
        <w:t xml:space="preserve"> (Edinburgh: Mainstream Publishing, 1999), 190.</w:t>
      </w:r>
    </w:p>
  </w:footnote>
  <w:footnote w:id="9">
    <w:p w14:paraId="489B7483" w14:textId="77777777" w:rsidR="00BC3EC4" w:rsidRPr="000E69D9" w:rsidRDefault="00BC3EC4" w:rsidP="00961436">
      <w:pPr>
        <w:pStyle w:val="FootnoteText"/>
        <w:rPr>
          <w:rFonts w:ascii="Times New Roman" w:hAnsi="Times New Roman" w:cs="Times New Roman"/>
        </w:rPr>
      </w:pPr>
      <w:r w:rsidRPr="000E69D9">
        <w:rPr>
          <w:rStyle w:val="FootnoteReference"/>
          <w:rFonts w:ascii="Times New Roman" w:hAnsi="Times New Roman" w:cs="Times New Roman"/>
        </w:rPr>
        <w:footnoteRef/>
      </w:r>
      <w:r w:rsidRPr="000E69D9">
        <w:rPr>
          <w:rFonts w:ascii="Times New Roman" w:hAnsi="Times New Roman" w:cs="Times New Roman"/>
        </w:rPr>
        <w:t xml:space="preserve"> See T. M. Devine, “Three Hundred Years of the Anglo-Scottish Union” in </w:t>
      </w:r>
      <w:r w:rsidRPr="000E69D9">
        <w:rPr>
          <w:rFonts w:ascii="Times New Roman" w:hAnsi="Times New Roman" w:cs="Times New Roman"/>
          <w:i/>
        </w:rPr>
        <w:t>Scotland and the Union 1707-2007</w:t>
      </w:r>
      <w:r w:rsidRPr="000E69D9">
        <w:rPr>
          <w:rFonts w:ascii="Times New Roman" w:hAnsi="Times New Roman" w:cs="Times New Roman"/>
        </w:rPr>
        <w:t xml:space="preserve"> ed. T.M. Devine (Edinburgh: Edinburgh University Press, 2008); Edward J. Cowan, “The Making of Union” in </w:t>
      </w:r>
      <w:r w:rsidRPr="000E69D9">
        <w:rPr>
          <w:rFonts w:ascii="Times New Roman" w:hAnsi="Times New Roman" w:cs="Times New Roman"/>
          <w:i/>
        </w:rPr>
        <w:t>In Search of Scotland</w:t>
      </w:r>
      <w:r w:rsidRPr="000E69D9">
        <w:rPr>
          <w:rFonts w:ascii="Times New Roman" w:hAnsi="Times New Roman" w:cs="Times New Roman"/>
        </w:rPr>
        <w:t xml:space="preserve"> ed. Gordon Menzies (Edinburgh: Polygon Press, 2001), 156-158.</w:t>
      </w:r>
    </w:p>
  </w:footnote>
  <w:footnote w:id="10">
    <w:p w14:paraId="0ED1B144" w14:textId="77777777" w:rsidR="00BC3EC4" w:rsidRPr="000E69D9" w:rsidRDefault="00BC3EC4" w:rsidP="00961436">
      <w:pPr>
        <w:pStyle w:val="FootnoteText"/>
        <w:rPr>
          <w:rFonts w:ascii="Times New Roman" w:hAnsi="Times New Roman" w:cs="Times New Roman"/>
        </w:rPr>
      </w:pPr>
      <w:r w:rsidRPr="000E69D9">
        <w:rPr>
          <w:rStyle w:val="FootnoteReference"/>
          <w:rFonts w:ascii="Times New Roman" w:hAnsi="Times New Roman" w:cs="Times New Roman"/>
        </w:rPr>
        <w:footnoteRef/>
      </w:r>
      <w:r w:rsidRPr="000E69D9">
        <w:rPr>
          <w:rFonts w:ascii="Times New Roman" w:hAnsi="Times New Roman" w:cs="Times New Roman"/>
        </w:rPr>
        <w:t xml:space="preserve"> Colin Kidd, </w:t>
      </w:r>
      <w:r w:rsidRPr="000E69D9">
        <w:rPr>
          <w:rFonts w:ascii="Times New Roman" w:hAnsi="Times New Roman" w:cs="Times New Roman"/>
          <w:i/>
        </w:rPr>
        <w:t>Union and Unionism: Political Thought in Scotland, 1500-2000</w:t>
      </w:r>
      <w:r w:rsidRPr="000E69D9">
        <w:rPr>
          <w:rFonts w:ascii="Times New Roman" w:hAnsi="Times New Roman" w:cs="Times New Roman"/>
        </w:rPr>
        <w:t xml:space="preserve"> (Cambridge: Cambridge University Press, 2008), 20.</w:t>
      </w:r>
    </w:p>
  </w:footnote>
  <w:footnote w:id="11">
    <w:p w14:paraId="1D8A31DB" w14:textId="77777777" w:rsidR="00BC3EC4" w:rsidRPr="000E69D9" w:rsidRDefault="00BC3EC4" w:rsidP="00961436">
      <w:pPr>
        <w:pStyle w:val="FootnoteText"/>
        <w:rPr>
          <w:rFonts w:ascii="Times New Roman" w:hAnsi="Times New Roman" w:cs="Times New Roman"/>
        </w:rPr>
      </w:pPr>
      <w:r w:rsidRPr="000E69D9">
        <w:rPr>
          <w:rStyle w:val="FootnoteReference"/>
          <w:rFonts w:ascii="Times New Roman" w:hAnsi="Times New Roman" w:cs="Times New Roman"/>
        </w:rPr>
        <w:footnoteRef/>
      </w:r>
      <w:r w:rsidRPr="000E69D9">
        <w:rPr>
          <w:rFonts w:ascii="Times New Roman" w:hAnsi="Times New Roman" w:cs="Times New Roman"/>
        </w:rPr>
        <w:t xml:space="preserve"> Ibid., 39.</w:t>
      </w:r>
    </w:p>
  </w:footnote>
  <w:footnote w:id="12">
    <w:p w14:paraId="59A76238" w14:textId="77777777" w:rsidR="00BC3EC4" w:rsidRPr="000E69D9" w:rsidRDefault="00BC3EC4" w:rsidP="00961436">
      <w:pPr>
        <w:pStyle w:val="FootnoteText"/>
        <w:rPr>
          <w:rFonts w:ascii="Times New Roman" w:hAnsi="Times New Roman" w:cs="Times New Roman"/>
        </w:rPr>
      </w:pPr>
      <w:r w:rsidRPr="000E69D9">
        <w:rPr>
          <w:rStyle w:val="FootnoteReference"/>
          <w:rFonts w:ascii="Times New Roman" w:hAnsi="Times New Roman" w:cs="Times New Roman"/>
        </w:rPr>
        <w:footnoteRef/>
      </w:r>
      <w:r w:rsidRPr="000E69D9">
        <w:rPr>
          <w:rFonts w:ascii="Times New Roman" w:hAnsi="Times New Roman" w:cs="Times New Roman"/>
        </w:rPr>
        <w:t xml:space="preserve"> Hunter, </w:t>
      </w:r>
      <w:r w:rsidRPr="000E69D9">
        <w:rPr>
          <w:rFonts w:ascii="Times New Roman" w:hAnsi="Times New Roman" w:cs="Times New Roman"/>
          <w:i/>
        </w:rPr>
        <w:t>Last of the Free</w:t>
      </w:r>
      <w:r w:rsidRPr="000E69D9">
        <w:rPr>
          <w:rFonts w:ascii="Times New Roman" w:hAnsi="Times New Roman" w:cs="Times New Roman"/>
        </w:rPr>
        <w:t>, 192.</w:t>
      </w:r>
    </w:p>
  </w:footnote>
  <w:footnote w:id="13">
    <w:p w14:paraId="056FD903" w14:textId="77777777" w:rsidR="00BC3EC4" w:rsidRPr="000E69D9" w:rsidRDefault="00BC3EC4" w:rsidP="00961436">
      <w:pPr>
        <w:pStyle w:val="FootnoteText"/>
        <w:rPr>
          <w:rFonts w:ascii="Times New Roman" w:hAnsi="Times New Roman" w:cs="Times New Roman"/>
        </w:rPr>
      </w:pPr>
      <w:r w:rsidRPr="000E69D9">
        <w:rPr>
          <w:rStyle w:val="FootnoteReference"/>
          <w:rFonts w:ascii="Times New Roman" w:hAnsi="Times New Roman" w:cs="Times New Roman"/>
        </w:rPr>
        <w:footnoteRef/>
      </w:r>
      <w:r w:rsidRPr="000E69D9">
        <w:rPr>
          <w:rFonts w:ascii="Times New Roman" w:hAnsi="Times New Roman" w:cs="Times New Roman"/>
        </w:rPr>
        <w:t xml:space="preserve"> Neil Davidson, </w:t>
      </w:r>
      <w:r w:rsidRPr="000E69D9">
        <w:rPr>
          <w:rFonts w:ascii="Times New Roman" w:hAnsi="Times New Roman" w:cs="Times New Roman"/>
          <w:i/>
        </w:rPr>
        <w:t>The Origins of Scottish Nationhood</w:t>
      </w:r>
      <w:r w:rsidRPr="000E69D9">
        <w:rPr>
          <w:rFonts w:ascii="Times New Roman" w:hAnsi="Times New Roman" w:cs="Times New Roman"/>
        </w:rPr>
        <w:t xml:space="preserve"> (London: Pluto Press, 2000), 78.</w:t>
      </w:r>
    </w:p>
  </w:footnote>
  <w:footnote w:id="14">
    <w:p w14:paraId="2EE4F353" w14:textId="77777777" w:rsidR="00BC3EC4" w:rsidRPr="000E69D9" w:rsidRDefault="00BC3EC4" w:rsidP="00961436">
      <w:pPr>
        <w:pStyle w:val="FootnoteText"/>
        <w:rPr>
          <w:rFonts w:ascii="Times New Roman" w:hAnsi="Times New Roman" w:cs="Times New Roman"/>
        </w:rPr>
      </w:pPr>
      <w:r w:rsidRPr="000E69D9">
        <w:rPr>
          <w:rStyle w:val="FootnoteReference"/>
          <w:rFonts w:ascii="Times New Roman" w:hAnsi="Times New Roman" w:cs="Times New Roman"/>
        </w:rPr>
        <w:footnoteRef/>
      </w:r>
      <w:r w:rsidRPr="000E69D9">
        <w:rPr>
          <w:rFonts w:ascii="Times New Roman" w:hAnsi="Times New Roman" w:cs="Times New Roman"/>
        </w:rPr>
        <w:t xml:space="preserve"> Ibid., 72.</w:t>
      </w:r>
    </w:p>
  </w:footnote>
  <w:footnote w:id="15">
    <w:p w14:paraId="20578993" w14:textId="77777777" w:rsidR="00BC3EC4" w:rsidRPr="000E69D9" w:rsidRDefault="00BC3EC4" w:rsidP="00961436">
      <w:pPr>
        <w:pStyle w:val="FootnoteText"/>
        <w:rPr>
          <w:rFonts w:ascii="Times New Roman" w:hAnsi="Times New Roman" w:cs="Times New Roman"/>
        </w:rPr>
      </w:pPr>
      <w:r w:rsidRPr="000E69D9">
        <w:rPr>
          <w:rStyle w:val="FootnoteReference"/>
          <w:rFonts w:ascii="Times New Roman" w:hAnsi="Times New Roman" w:cs="Times New Roman"/>
        </w:rPr>
        <w:footnoteRef/>
      </w:r>
      <w:r w:rsidRPr="000E69D9">
        <w:rPr>
          <w:rFonts w:ascii="Times New Roman" w:hAnsi="Times New Roman" w:cs="Times New Roman"/>
        </w:rPr>
        <w:t xml:space="preserve"> Benedict Anderson, </w:t>
      </w:r>
      <w:r w:rsidRPr="000E69D9">
        <w:rPr>
          <w:rFonts w:ascii="Times New Roman" w:hAnsi="Times New Roman" w:cs="Times New Roman"/>
          <w:i/>
        </w:rPr>
        <w:t>Imagined Communities: Reflections on the Origin and Spread of Nationalism</w:t>
      </w:r>
      <w:r w:rsidRPr="000E69D9">
        <w:rPr>
          <w:rFonts w:ascii="Times New Roman" w:hAnsi="Times New Roman" w:cs="Times New Roman"/>
        </w:rPr>
        <w:t xml:space="preserve"> (London: </w:t>
      </w:r>
      <w:proofErr w:type="spellStart"/>
      <w:r w:rsidRPr="000E69D9">
        <w:rPr>
          <w:rFonts w:ascii="Times New Roman" w:hAnsi="Times New Roman" w:cs="Times New Roman"/>
        </w:rPr>
        <w:t>Verson</w:t>
      </w:r>
      <w:proofErr w:type="spellEnd"/>
      <w:r w:rsidRPr="000E69D9">
        <w:rPr>
          <w:rFonts w:ascii="Times New Roman" w:hAnsi="Times New Roman" w:cs="Times New Roman"/>
        </w:rPr>
        <w:t>, 2016), 44-45</w:t>
      </w:r>
    </w:p>
  </w:footnote>
  <w:footnote w:id="16">
    <w:p w14:paraId="59459EBF" w14:textId="77777777" w:rsidR="00BC3EC4" w:rsidRPr="000E69D9" w:rsidRDefault="00BC3EC4" w:rsidP="00961436">
      <w:pPr>
        <w:pStyle w:val="FootnoteText"/>
        <w:rPr>
          <w:rFonts w:ascii="Times New Roman" w:hAnsi="Times New Roman" w:cs="Times New Roman"/>
        </w:rPr>
      </w:pPr>
      <w:r w:rsidRPr="000E69D9">
        <w:rPr>
          <w:rStyle w:val="FootnoteReference"/>
          <w:rFonts w:ascii="Times New Roman" w:hAnsi="Times New Roman" w:cs="Times New Roman"/>
        </w:rPr>
        <w:footnoteRef/>
      </w:r>
      <w:r w:rsidRPr="000E69D9">
        <w:rPr>
          <w:rFonts w:ascii="Times New Roman" w:hAnsi="Times New Roman" w:cs="Times New Roman"/>
        </w:rPr>
        <w:t xml:space="preserve"> Michael E. Robinson, “Colonial Publication Policy and the Korean Nationalist Movement” in </w:t>
      </w:r>
      <w:r w:rsidRPr="000E69D9">
        <w:rPr>
          <w:rFonts w:ascii="Times New Roman" w:hAnsi="Times New Roman" w:cs="Times New Roman"/>
          <w:i/>
        </w:rPr>
        <w:t>The Japanese Colonial Empire, 1895-1945</w:t>
      </w:r>
      <w:r w:rsidRPr="000E69D9">
        <w:rPr>
          <w:rFonts w:ascii="Times New Roman" w:hAnsi="Times New Roman" w:cs="Times New Roman"/>
        </w:rPr>
        <w:t xml:space="preserve"> ed. Ramon H. Myers and Mark R. Peattie (Princeton: Princeton University Press, 1984), 315.</w:t>
      </w:r>
    </w:p>
  </w:footnote>
  <w:footnote w:id="17">
    <w:p w14:paraId="5EE7F720" w14:textId="77777777" w:rsidR="00BC3EC4" w:rsidRPr="000E69D9" w:rsidRDefault="00BC3EC4" w:rsidP="00961436">
      <w:pPr>
        <w:pStyle w:val="FootnoteText"/>
        <w:rPr>
          <w:rFonts w:ascii="Times New Roman" w:hAnsi="Times New Roman" w:cs="Times New Roman"/>
        </w:rPr>
      </w:pPr>
      <w:r w:rsidRPr="000E69D9">
        <w:rPr>
          <w:rStyle w:val="FootnoteReference"/>
          <w:rFonts w:ascii="Times New Roman" w:hAnsi="Times New Roman" w:cs="Times New Roman"/>
        </w:rPr>
        <w:footnoteRef/>
      </w:r>
      <w:r w:rsidRPr="000E69D9">
        <w:rPr>
          <w:rFonts w:ascii="Times New Roman" w:hAnsi="Times New Roman" w:cs="Times New Roman"/>
        </w:rPr>
        <w:t xml:space="preserve"> Michael E. Robinson, </w:t>
      </w:r>
      <w:r w:rsidRPr="000E69D9">
        <w:rPr>
          <w:rFonts w:ascii="Times New Roman" w:hAnsi="Times New Roman" w:cs="Times New Roman"/>
          <w:i/>
        </w:rPr>
        <w:t>Korea’s Twentieth-Century Odyssey: A Short History</w:t>
      </w:r>
      <w:r w:rsidRPr="000E69D9">
        <w:rPr>
          <w:rFonts w:ascii="Times New Roman" w:hAnsi="Times New Roman" w:cs="Times New Roman"/>
        </w:rPr>
        <w:t xml:space="preserve"> (Honolulu: University of Hawai’i Press, 2007), 26.</w:t>
      </w:r>
    </w:p>
  </w:footnote>
  <w:footnote w:id="18">
    <w:p w14:paraId="04007C7E" w14:textId="77777777" w:rsidR="00BC3EC4" w:rsidRPr="000E69D9" w:rsidRDefault="00BC3EC4" w:rsidP="00961436">
      <w:pPr>
        <w:pStyle w:val="FootnoteText"/>
        <w:rPr>
          <w:rFonts w:ascii="Times New Roman" w:hAnsi="Times New Roman" w:cs="Times New Roman"/>
        </w:rPr>
      </w:pPr>
      <w:r w:rsidRPr="000E69D9">
        <w:rPr>
          <w:rStyle w:val="FootnoteReference"/>
          <w:rFonts w:ascii="Times New Roman" w:hAnsi="Times New Roman" w:cs="Times New Roman"/>
        </w:rPr>
        <w:footnoteRef/>
      </w:r>
      <w:r w:rsidRPr="000E69D9">
        <w:rPr>
          <w:rFonts w:ascii="Times New Roman" w:hAnsi="Times New Roman" w:cs="Times New Roman"/>
        </w:rPr>
        <w:t xml:space="preserve"> Quoted in Robinson, “Colonial Publication Policy,” 330.</w:t>
      </w:r>
    </w:p>
  </w:footnote>
  <w:footnote w:id="19">
    <w:p w14:paraId="21B49689" w14:textId="77777777" w:rsidR="00BC3EC4" w:rsidRPr="000E69D9" w:rsidRDefault="00BC3EC4" w:rsidP="00961436">
      <w:pPr>
        <w:pStyle w:val="FootnoteText"/>
        <w:rPr>
          <w:rFonts w:ascii="Times New Roman" w:hAnsi="Times New Roman" w:cs="Times New Roman"/>
        </w:rPr>
      </w:pPr>
      <w:r w:rsidRPr="000E69D9">
        <w:rPr>
          <w:rStyle w:val="FootnoteReference"/>
          <w:rFonts w:ascii="Times New Roman" w:hAnsi="Times New Roman" w:cs="Times New Roman"/>
        </w:rPr>
        <w:footnoteRef/>
      </w:r>
      <w:r w:rsidRPr="000E69D9">
        <w:rPr>
          <w:rFonts w:ascii="Times New Roman" w:hAnsi="Times New Roman" w:cs="Times New Roman"/>
        </w:rPr>
        <w:t xml:space="preserve"> E. Taylor Atkins, </w:t>
      </w:r>
      <w:r w:rsidRPr="000E69D9">
        <w:rPr>
          <w:rFonts w:ascii="Times New Roman" w:hAnsi="Times New Roman" w:cs="Times New Roman"/>
          <w:i/>
        </w:rPr>
        <w:t xml:space="preserve">Primitive Selves: </w:t>
      </w:r>
      <w:proofErr w:type="spellStart"/>
      <w:r w:rsidRPr="000E69D9">
        <w:rPr>
          <w:rFonts w:ascii="Times New Roman" w:hAnsi="Times New Roman" w:cs="Times New Roman"/>
          <w:i/>
        </w:rPr>
        <w:t>Koreana</w:t>
      </w:r>
      <w:proofErr w:type="spellEnd"/>
      <w:r w:rsidRPr="000E69D9">
        <w:rPr>
          <w:rFonts w:ascii="Times New Roman" w:hAnsi="Times New Roman" w:cs="Times New Roman"/>
          <w:i/>
        </w:rPr>
        <w:t xml:space="preserve"> in the Japanese Colonial Gaze, 1910-1945</w:t>
      </w:r>
      <w:r w:rsidRPr="000E69D9">
        <w:rPr>
          <w:rFonts w:ascii="Times New Roman" w:hAnsi="Times New Roman" w:cs="Times New Roman"/>
        </w:rPr>
        <w:t xml:space="preserve"> (Berkeley: University of California Press, 2010), 2-3.</w:t>
      </w:r>
    </w:p>
  </w:footnote>
  <w:footnote w:id="20">
    <w:p w14:paraId="27FFD86B" w14:textId="77777777" w:rsidR="00BC3EC4" w:rsidRPr="000E69D9" w:rsidRDefault="00BC3EC4" w:rsidP="00961436">
      <w:pPr>
        <w:pStyle w:val="FootnoteText"/>
        <w:rPr>
          <w:rFonts w:ascii="Times New Roman" w:hAnsi="Times New Roman" w:cs="Times New Roman"/>
        </w:rPr>
      </w:pPr>
      <w:r w:rsidRPr="000E69D9">
        <w:rPr>
          <w:rStyle w:val="FootnoteReference"/>
          <w:rFonts w:ascii="Times New Roman" w:hAnsi="Times New Roman" w:cs="Times New Roman"/>
        </w:rPr>
        <w:footnoteRef/>
      </w:r>
      <w:r w:rsidRPr="000E69D9">
        <w:rPr>
          <w:rFonts w:ascii="Times New Roman" w:hAnsi="Times New Roman" w:cs="Times New Roman"/>
        </w:rPr>
        <w:t xml:space="preserve"> Ibid., 30.</w:t>
      </w:r>
    </w:p>
  </w:footnote>
  <w:footnote w:id="21">
    <w:p w14:paraId="1D1E41C3" w14:textId="77777777" w:rsidR="00BC3EC4" w:rsidRPr="000E69D9" w:rsidRDefault="00BC3EC4" w:rsidP="00961436">
      <w:pPr>
        <w:pStyle w:val="FootnoteText"/>
        <w:rPr>
          <w:rFonts w:ascii="Times New Roman" w:hAnsi="Times New Roman" w:cs="Times New Roman"/>
        </w:rPr>
      </w:pPr>
      <w:r w:rsidRPr="000E69D9">
        <w:rPr>
          <w:rStyle w:val="FootnoteReference"/>
          <w:rFonts w:ascii="Times New Roman" w:hAnsi="Times New Roman" w:cs="Times New Roman"/>
        </w:rPr>
        <w:footnoteRef/>
      </w:r>
      <w:r w:rsidRPr="000E69D9">
        <w:rPr>
          <w:rFonts w:ascii="Times New Roman" w:hAnsi="Times New Roman" w:cs="Times New Roman"/>
        </w:rPr>
        <w:t xml:space="preserve"> Ibid., 7-8.</w:t>
      </w:r>
    </w:p>
  </w:footnote>
  <w:footnote w:id="22">
    <w:p w14:paraId="2CCD94DB" w14:textId="77777777" w:rsidR="00BC3EC4" w:rsidRPr="000E69D9" w:rsidRDefault="00BC3EC4" w:rsidP="00961436">
      <w:pPr>
        <w:pStyle w:val="FootnoteText"/>
        <w:rPr>
          <w:rFonts w:ascii="Times New Roman" w:hAnsi="Times New Roman" w:cs="Times New Roman"/>
        </w:rPr>
      </w:pPr>
      <w:r w:rsidRPr="000E69D9">
        <w:rPr>
          <w:rStyle w:val="FootnoteReference"/>
          <w:rFonts w:ascii="Times New Roman" w:hAnsi="Times New Roman" w:cs="Times New Roman"/>
        </w:rPr>
        <w:footnoteRef/>
      </w:r>
      <w:r w:rsidRPr="000E69D9">
        <w:rPr>
          <w:rFonts w:ascii="Times New Roman" w:hAnsi="Times New Roman" w:cs="Times New Roman"/>
        </w:rPr>
        <w:t xml:space="preserve"> Ibid., 8-9.</w:t>
      </w:r>
    </w:p>
  </w:footnote>
  <w:footnote w:id="23">
    <w:p w14:paraId="65D4662E" w14:textId="77777777" w:rsidR="00BC3EC4" w:rsidRPr="000E69D9" w:rsidRDefault="00BC3EC4" w:rsidP="00961436">
      <w:pPr>
        <w:pStyle w:val="FootnoteText"/>
        <w:rPr>
          <w:rFonts w:ascii="Times New Roman" w:hAnsi="Times New Roman" w:cs="Times New Roman"/>
        </w:rPr>
      </w:pPr>
      <w:r w:rsidRPr="000E69D9">
        <w:rPr>
          <w:rStyle w:val="FootnoteReference"/>
          <w:rFonts w:ascii="Times New Roman" w:hAnsi="Times New Roman" w:cs="Times New Roman"/>
        </w:rPr>
        <w:footnoteRef/>
      </w:r>
      <w:r w:rsidRPr="000E69D9">
        <w:rPr>
          <w:rFonts w:ascii="Times New Roman" w:hAnsi="Times New Roman" w:cs="Times New Roman"/>
        </w:rPr>
        <w:t xml:space="preserve"> Ibid., 12.</w:t>
      </w:r>
    </w:p>
  </w:footnote>
  <w:footnote w:id="24">
    <w:p w14:paraId="2060DDA3" w14:textId="77777777" w:rsidR="00BC3EC4" w:rsidRPr="000E69D9" w:rsidRDefault="00BC3EC4" w:rsidP="00961436">
      <w:pPr>
        <w:pStyle w:val="FootnoteText"/>
        <w:rPr>
          <w:rFonts w:ascii="Times New Roman" w:hAnsi="Times New Roman" w:cs="Times New Roman"/>
        </w:rPr>
      </w:pPr>
      <w:r w:rsidRPr="000E69D9">
        <w:rPr>
          <w:rStyle w:val="FootnoteReference"/>
          <w:rFonts w:ascii="Times New Roman" w:hAnsi="Times New Roman" w:cs="Times New Roman"/>
        </w:rPr>
        <w:footnoteRef/>
      </w:r>
      <w:r w:rsidRPr="000E69D9">
        <w:rPr>
          <w:rFonts w:ascii="Times New Roman" w:hAnsi="Times New Roman" w:cs="Times New Roman"/>
        </w:rPr>
        <w:t xml:space="preserve"> Ministry of Foreign Affairs, External Trade and Cooperation in Development, </w:t>
      </w:r>
      <w:r w:rsidRPr="000E69D9">
        <w:rPr>
          <w:rFonts w:ascii="Times New Roman" w:hAnsi="Times New Roman" w:cs="Times New Roman"/>
          <w:i/>
        </w:rPr>
        <w:t>Memo from Belgium Views and Surveys: Documents Illustrating the History of Belgium</w:t>
      </w:r>
      <w:r w:rsidRPr="000E69D9">
        <w:rPr>
          <w:rFonts w:ascii="Times New Roman" w:hAnsi="Times New Roman" w:cs="Times New Roman"/>
        </w:rPr>
        <w:t xml:space="preserve"> (Brussels: Ministry of Foreign Affairs, 1978), 141.</w:t>
      </w:r>
    </w:p>
  </w:footnote>
  <w:footnote w:id="25">
    <w:p w14:paraId="3F237169" w14:textId="293E97DD" w:rsidR="00BC3EC4" w:rsidRPr="000E69D9" w:rsidRDefault="00BC3EC4" w:rsidP="00961436">
      <w:pPr>
        <w:pStyle w:val="FootnoteText"/>
        <w:rPr>
          <w:rFonts w:ascii="Times New Roman" w:hAnsi="Times New Roman" w:cs="Times New Roman"/>
        </w:rPr>
      </w:pPr>
      <w:r w:rsidRPr="000E69D9">
        <w:rPr>
          <w:rStyle w:val="FootnoteReference"/>
          <w:rFonts w:ascii="Times New Roman" w:hAnsi="Times New Roman" w:cs="Times New Roman"/>
        </w:rPr>
        <w:footnoteRef/>
      </w:r>
      <w:r w:rsidRPr="000E69D9">
        <w:rPr>
          <w:rFonts w:ascii="Times New Roman" w:hAnsi="Times New Roman" w:cs="Times New Roman"/>
        </w:rPr>
        <w:t xml:space="preserve"> Shepard B. Clough, </w:t>
      </w:r>
      <w:r>
        <w:rPr>
          <w:rFonts w:ascii="Times New Roman" w:hAnsi="Times New Roman" w:cs="Times New Roman"/>
          <w:i/>
        </w:rPr>
        <w:t xml:space="preserve">A </w:t>
      </w:r>
      <w:r w:rsidRPr="000E69D9">
        <w:rPr>
          <w:rFonts w:ascii="Times New Roman" w:hAnsi="Times New Roman" w:cs="Times New Roman"/>
          <w:i/>
        </w:rPr>
        <w:t>History of the Flemish Movement</w:t>
      </w:r>
      <w:r>
        <w:rPr>
          <w:rFonts w:ascii="Times New Roman" w:hAnsi="Times New Roman" w:cs="Times New Roman"/>
          <w:i/>
        </w:rPr>
        <w:t xml:space="preserve"> in Belgium: A Study in Nationalism</w:t>
      </w:r>
      <w:r w:rsidRPr="000E69D9">
        <w:rPr>
          <w:rFonts w:ascii="Times New Roman" w:hAnsi="Times New Roman" w:cs="Times New Roman"/>
        </w:rPr>
        <w:t xml:space="preserve"> (New York: Octagon Books, Inc., 1968), 3.</w:t>
      </w:r>
    </w:p>
  </w:footnote>
  <w:footnote w:id="26">
    <w:p w14:paraId="4DC28FA7" w14:textId="77777777" w:rsidR="00BC3EC4" w:rsidRPr="000E69D9" w:rsidRDefault="00BC3EC4" w:rsidP="00961436">
      <w:pPr>
        <w:pStyle w:val="FootnoteText"/>
        <w:rPr>
          <w:rFonts w:ascii="Times New Roman" w:hAnsi="Times New Roman" w:cs="Times New Roman"/>
        </w:rPr>
      </w:pPr>
      <w:r w:rsidRPr="000E69D9">
        <w:rPr>
          <w:rStyle w:val="FootnoteReference"/>
          <w:rFonts w:ascii="Times New Roman" w:hAnsi="Times New Roman" w:cs="Times New Roman"/>
        </w:rPr>
        <w:footnoteRef/>
      </w:r>
      <w:r w:rsidRPr="000E69D9">
        <w:rPr>
          <w:rFonts w:ascii="Times New Roman" w:hAnsi="Times New Roman" w:cs="Times New Roman"/>
        </w:rPr>
        <w:t xml:space="preserve"> Piet </w:t>
      </w:r>
      <w:proofErr w:type="spellStart"/>
      <w:r w:rsidRPr="000E69D9">
        <w:rPr>
          <w:rFonts w:ascii="Times New Roman" w:hAnsi="Times New Roman" w:cs="Times New Roman"/>
        </w:rPr>
        <w:t>Couttenier</w:t>
      </w:r>
      <w:proofErr w:type="spellEnd"/>
      <w:r w:rsidRPr="000E69D9">
        <w:rPr>
          <w:rFonts w:ascii="Times New Roman" w:hAnsi="Times New Roman" w:cs="Times New Roman"/>
        </w:rPr>
        <w:t>, “National Imagery in 19</w:t>
      </w:r>
      <w:r w:rsidRPr="000E69D9">
        <w:rPr>
          <w:rFonts w:ascii="Times New Roman" w:hAnsi="Times New Roman" w:cs="Times New Roman"/>
          <w:vertAlign w:val="superscript"/>
        </w:rPr>
        <w:t>th</w:t>
      </w:r>
      <w:r w:rsidRPr="000E69D9">
        <w:rPr>
          <w:rFonts w:ascii="Times New Roman" w:hAnsi="Times New Roman" w:cs="Times New Roman"/>
        </w:rPr>
        <w:t xml:space="preserve"> century Flemish Literature,” in </w:t>
      </w:r>
      <w:r w:rsidRPr="000E69D9">
        <w:rPr>
          <w:rFonts w:ascii="Times New Roman" w:hAnsi="Times New Roman" w:cs="Times New Roman"/>
          <w:i/>
        </w:rPr>
        <w:t>Nationalism in Belgium: Shifting Identities, 1780-1995</w:t>
      </w:r>
      <w:r w:rsidRPr="000E69D9">
        <w:rPr>
          <w:rFonts w:ascii="Times New Roman" w:hAnsi="Times New Roman" w:cs="Times New Roman"/>
        </w:rPr>
        <w:t xml:space="preserve"> eds. </w:t>
      </w:r>
      <w:proofErr w:type="spellStart"/>
      <w:r w:rsidRPr="000E69D9">
        <w:rPr>
          <w:rFonts w:ascii="Times New Roman" w:hAnsi="Times New Roman" w:cs="Times New Roman"/>
        </w:rPr>
        <w:t>Kas</w:t>
      </w:r>
      <w:proofErr w:type="spellEnd"/>
      <w:r w:rsidRPr="000E69D9">
        <w:rPr>
          <w:rFonts w:ascii="Times New Roman" w:hAnsi="Times New Roman" w:cs="Times New Roman"/>
        </w:rPr>
        <w:t xml:space="preserve"> </w:t>
      </w:r>
      <w:proofErr w:type="spellStart"/>
      <w:r w:rsidRPr="000E69D9">
        <w:rPr>
          <w:rFonts w:ascii="Times New Roman" w:hAnsi="Times New Roman" w:cs="Times New Roman"/>
        </w:rPr>
        <w:t>Deprez</w:t>
      </w:r>
      <w:proofErr w:type="spellEnd"/>
      <w:r w:rsidRPr="000E69D9">
        <w:rPr>
          <w:rFonts w:ascii="Times New Roman" w:hAnsi="Times New Roman" w:cs="Times New Roman"/>
        </w:rPr>
        <w:t xml:space="preserve"> and Louis </w:t>
      </w:r>
      <w:proofErr w:type="spellStart"/>
      <w:r w:rsidRPr="000E69D9">
        <w:rPr>
          <w:rFonts w:ascii="Times New Roman" w:hAnsi="Times New Roman" w:cs="Times New Roman"/>
        </w:rPr>
        <w:t>Voz</w:t>
      </w:r>
      <w:proofErr w:type="spellEnd"/>
      <w:r w:rsidRPr="000E69D9">
        <w:rPr>
          <w:rFonts w:ascii="Times New Roman" w:hAnsi="Times New Roman" w:cs="Times New Roman"/>
        </w:rPr>
        <w:t xml:space="preserve"> (New York: St. Martin’s Press, 1998), 51.</w:t>
      </w:r>
    </w:p>
  </w:footnote>
  <w:footnote w:id="27">
    <w:p w14:paraId="3C0DD096" w14:textId="77777777" w:rsidR="00BC3EC4" w:rsidRPr="000E69D9" w:rsidRDefault="00BC3EC4" w:rsidP="00961436">
      <w:pPr>
        <w:pStyle w:val="FootnoteText"/>
        <w:rPr>
          <w:rFonts w:ascii="Times New Roman" w:hAnsi="Times New Roman" w:cs="Times New Roman"/>
        </w:rPr>
      </w:pPr>
      <w:r w:rsidRPr="000E69D9">
        <w:rPr>
          <w:rStyle w:val="FootnoteReference"/>
          <w:rFonts w:ascii="Times New Roman" w:hAnsi="Times New Roman" w:cs="Times New Roman"/>
        </w:rPr>
        <w:footnoteRef/>
      </w:r>
      <w:r w:rsidRPr="000E69D9">
        <w:rPr>
          <w:rFonts w:ascii="Times New Roman" w:hAnsi="Times New Roman" w:cs="Times New Roman"/>
        </w:rPr>
        <w:t xml:space="preserve"> Bart </w:t>
      </w:r>
      <w:proofErr w:type="spellStart"/>
      <w:r w:rsidRPr="000E69D9">
        <w:rPr>
          <w:rFonts w:ascii="Times New Roman" w:hAnsi="Times New Roman" w:cs="Times New Roman"/>
        </w:rPr>
        <w:t>Meuleman</w:t>
      </w:r>
      <w:proofErr w:type="spellEnd"/>
      <w:r w:rsidRPr="000E69D9">
        <w:rPr>
          <w:rFonts w:ascii="Times New Roman" w:hAnsi="Times New Roman" w:cs="Times New Roman"/>
        </w:rPr>
        <w:t xml:space="preserve">, Koen </w:t>
      </w:r>
      <w:proofErr w:type="spellStart"/>
      <w:r w:rsidRPr="000E69D9">
        <w:rPr>
          <w:rFonts w:ascii="Times New Roman" w:hAnsi="Times New Roman" w:cs="Times New Roman"/>
        </w:rPr>
        <w:t>Abts</w:t>
      </w:r>
      <w:proofErr w:type="spellEnd"/>
      <w:r w:rsidRPr="000E69D9">
        <w:rPr>
          <w:rFonts w:ascii="Times New Roman" w:hAnsi="Times New Roman" w:cs="Times New Roman"/>
        </w:rPr>
        <w:t xml:space="preserve">, and Cecil </w:t>
      </w:r>
      <w:proofErr w:type="spellStart"/>
      <w:r w:rsidRPr="000E69D9">
        <w:rPr>
          <w:rFonts w:ascii="Times New Roman" w:hAnsi="Times New Roman" w:cs="Times New Roman"/>
        </w:rPr>
        <w:t>Meeusen</w:t>
      </w:r>
      <w:proofErr w:type="spellEnd"/>
      <w:r w:rsidRPr="000E69D9">
        <w:rPr>
          <w:rFonts w:ascii="Times New Roman" w:hAnsi="Times New Roman" w:cs="Times New Roman"/>
        </w:rPr>
        <w:t xml:space="preserve">, “Walloons as General or Specific Others? A Comparison of anti-Walloon and anti-immigrant Attitudes in Flanders” </w:t>
      </w:r>
      <w:proofErr w:type="spellStart"/>
      <w:r w:rsidRPr="000E69D9">
        <w:rPr>
          <w:rFonts w:ascii="Times New Roman" w:hAnsi="Times New Roman" w:cs="Times New Roman"/>
          <w:i/>
        </w:rPr>
        <w:t>Psycologica</w:t>
      </w:r>
      <w:proofErr w:type="spellEnd"/>
      <w:r w:rsidRPr="000E69D9">
        <w:rPr>
          <w:rFonts w:ascii="Times New Roman" w:hAnsi="Times New Roman" w:cs="Times New Roman"/>
          <w:i/>
        </w:rPr>
        <w:t xml:space="preserve"> </w:t>
      </w:r>
      <w:proofErr w:type="spellStart"/>
      <w:r w:rsidRPr="000E69D9">
        <w:rPr>
          <w:rFonts w:ascii="Times New Roman" w:hAnsi="Times New Roman" w:cs="Times New Roman"/>
          <w:i/>
        </w:rPr>
        <w:t>Belgica</w:t>
      </w:r>
      <w:proofErr w:type="spellEnd"/>
      <w:r w:rsidRPr="000E69D9">
        <w:rPr>
          <w:rFonts w:ascii="Times New Roman" w:hAnsi="Times New Roman" w:cs="Times New Roman"/>
        </w:rPr>
        <w:t xml:space="preserve"> 57, no. 3 (2017): 76.</w:t>
      </w:r>
    </w:p>
  </w:footnote>
  <w:footnote w:id="28">
    <w:p w14:paraId="7907D8F0" w14:textId="77777777" w:rsidR="00BC3EC4" w:rsidRPr="000E69D9" w:rsidRDefault="00BC3EC4" w:rsidP="00961436">
      <w:pPr>
        <w:pStyle w:val="FootnoteText"/>
        <w:rPr>
          <w:rFonts w:ascii="Times New Roman" w:hAnsi="Times New Roman" w:cs="Times New Roman"/>
        </w:rPr>
      </w:pPr>
      <w:r w:rsidRPr="000E69D9">
        <w:rPr>
          <w:rStyle w:val="FootnoteReference"/>
          <w:rFonts w:ascii="Times New Roman" w:hAnsi="Times New Roman" w:cs="Times New Roman"/>
        </w:rPr>
        <w:footnoteRef/>
      </w:r>
      <w:r w:rsidRPr="000E69D9">
        <w:rPr>
          <w:rFonts w:ascii="Times New Roman" w:hAnsi="Times New Roman" w:cs="Times New Roman"/>
        </w:rPr>
        <w:t xml:space="preserve"> Lode </w:t>
      </w:r>
      <w:proofErr w:type="spellStart"/>
      <w:r w:rsidRPr="000E69D9">
        <w:rPr>
          <w:rFonts w:ascii="Times New Roman" w:hAnsi="Times New Roman" w:cs="Times New Roman"/>
        </w:rPr>
        <w:t>Wils</w:t>
      </w:r>
      <w:proofErr w:type="spellEnd"/>
      <w:r w:rsidRPr="000E69D9">
        <w:rPr>
          <w:rFonts w:ascii="Times New Roman" w:hAnsi="Times New Roman" w:cs="Times New Roman"/>
        </w:rPr>
        <w:t xml:space="preserve">, “A Brief History of the Flemish Movement” in </w:t>
      </w:r>
      <w:r w:rsidRPr="000E69D9">
        <w:rPr>
          <w:rFonts w:ascii="Times New Roman" w:hAnsi="Times New Roman" w:cs="Times New Roman"/>
          <w:i/>
        </w:rPr>
        <w:t>The Flemish Movement: A Documentary History 1780-1990</w:t>
      </w:r>
      <w:r w:rsidRPr="000E69D9">
        <w:rPr>
          <w:rFonts w:ascii="Times New Roman" w:hAnsi="Times New Roman" w:cs="Times New Roman"/>
        </w:rPr>
        <w:t xml:space="preserve"> ed. Theo </w:t>
      </w:r>
      <w:proofErr w:type="spellStart"/>
      <w:r w:rsidRPr="000E69D9">
        <w:rPr>
          <w:rFonts w:ascii="Times New Roman" w:hAnsi="Times New Roman" w:cs="Times New Roman"/>
        </w:rPr>
        <w:t>Hermans</w:t>
      </w:r>
      <w:proofErr w:type="spellEnd"/>
      <w:r w:rsidRPr="000E69D9">
        <w:rPr>
          <w:rFonts w:ascii="Times New Roman" w:hAnsi="Times New Roman" w:cs="Times New Roman"/>
        </w:rPr>
        <w:t xml:space="preserve">, co-eds. Louis </w:t>
      </w:r>
      <w:proofErr w:type="spellStart"/>
      <w:r w:rsidRPr="000E69D9">
        <w:rPr>
          <w:rFonts w:ascii="Times New Roman" w:hAnsi="Times New Roman" w:cs="Times New Roman"/>
        </w:rPr>
        <w:t>Vos</w:t>
      </w:r>
      <w:proofErr w:type="spellEnd"/>
      <w:r w:rsidRPr="000E69D9">
        <w:rPr>
          <w:rFonts w:ascii="Times New Roman" w:hAnsi="Times New Roman" w:cs="Times New Roman"/>
        </w:rPr>
        <w:t xml:space="preserve"> and Lode </w:t>
      </w:r>
      <w:proofErr w:type="spellStart"/>
      <w:r w:rsidRPr="000E69D9">
        <w:rPr>
          <w:rFonts w:ascii="Times New Roman" w:hAnsi="Times New Roman" w:cs="Times New Roman"/>
        </w:rPr>
        <w:t>Wils</w:t>
      </w:r>
      <w:proofErr w:type="spellEnd"/>
      <w:r w:rsidRPr="000E69D9">
        <w:rPr>
          <w:rFonts w:ascii="Times New Roman" w:hAnsi="Times New Roman" w:cs="Times New Roman"/>
        </w:rPr>
        <w:t xml:space="preserve"> (London: The </w:t>
      </w:r>
      <w:proofErr w:type="spellStart"/>
      <w:r w:rsidRPr="000E69D9">
        <w:rPr>
          <w:rFonts w:ascii="Times New Roman" w:hAnsi="Times New Roman" w:cs="Times New Roman"/>
        </w:rPr>
        <w:t>Athlone</w:t>
      </w:r>
      <w:proofErr w:type="spellEnd"/>
      <w:r w:rsidRPr="000E69D9">
        <w:rPr>
          <w:rFonts w:ascii="Times New Roman" w:hAnsi="Times New Roman" w:cs="Times New Roman"/>
        </w:rPr>
        <w:t xml:space="preserve"> Press, 1992), 14.</w:t>
      </w:r>
    </w:p>
  </w:footnote>
  <w:footnote w:id="29">
    <w:p w14:paraId="3D1A7635" w14:textId="77777777" w:rsidR="00BC3EC4" w:rsidRPr="000E69D9" w:rsidRDefault="00BC3EC4" w:rsidP="00961436">
      <w:pPr>
        <w:pStyle w:val="FootnoteText"/>
        <w:rPr>
          <w:rFonts w:ascii="Times New Roman" w:hAnsi="Times New Roman" w:cs="Times New Roman"/>
        </w:rPr>
      </w:pPr>
      <w:r w:rsidRPr="000E69D9">
        <w:rPr>
          <w:rStyle w:val="FootnoteReference"/>
          <w:rFonts w:ascii="Times New Roman" w:hAnsi="Times New Roman" w:cs="Times New Roman"/>
        </w:rPr>
        <w:footnoteRef/>
      </w:r>
      <w:r w:rsidRPr="000E69D9">
        <w:rPr>
          <w:rFonts w:ascii="Times New Roman" w:hAnsi="Times New Roman" w:cs="Times New Roman"/>
        </w:rPr>
        <w:t xml:space="preserve"> Ibid., 28.</w:t>
      </w:r>
    </w:p>
  </w:footnote>
  <w:footnote w:id="30">
    <w:p w14:paraId="3B35B562" w14:textId="77777777" w:rsidR="00BC3EC4" w:rsidRPr="000E69D9" w:rsidRDefault="00BC3EC4" w:rsidP="00961436">
      <w:pPr>
        <w:pStyle w:val="FootnoteText"/>
        <w:rPr>
          <w:rFonts w:ascii="Times New Roman" w:hAnsi="Times New Roman" w:cs="Times New Roman"/>
        </w:rPr>
      </w:pPr>
      <w:r w:rsidRPr="000E69D9">
        <w:rPr>
          <w:rStyle w:val="FootnoteReference"/>
          <w:rFonts w:ascii="Times New Roman" w:hAnsi="Times New Roman" w:cs="Times New Roman"/>
        </w:rPr>
        <w:footnoteRef/>
      </w:r>
      <w:r w:rsidRPr="000E69D9">
        <w:rPr>
          <w:rFonts w:ascii="Times New Roman" w:hAnsi="Times New Roman" w:cs="Times New Roman"/>
        </w:rPr>
        <w:t xml:space="preserve"> Anthony </w:t>
      </w:r>
      <w:proofErr w:type="spellStart"/>
      <w:r w:rsidRPr="000E69D9">
        <w:rPr>
          <w:rFonts w:ascii="Times New Roman" w:hAnsi="Times New Roman" w:cs="Times New Roman"/>
        </w:rPr>
        <w:t>Mughan</w:t>
      </w:r>
      <w:proofErr w:type="spellEnd"/>
      <w:r w:rsidRPr="000E69D9">
        <w:rPr>
          <w:rFonts w:ascii="Times New Roman" w:hAnsi="Times New Roman" w:cs="Times New Roman"/>
        </w:rPr>
        <w:t xml:space="preserve">, “Modernization and Ethnic Conflict in Belgium,” </w:t>
      </w:r>
      <w:r w:rsidRPr="000E69D9">
        <w:rPr>
          <w:rFonts w:ascii="Times New Roman" w:hAnsi="Times New Roman" w:cs="Times New Roman"/>
          <w:i/>
        </w:rPr>
        <w:t xml:space="preserve">Political </w:t>
      </w:r>
      <w:proofErr w:type="spellStart"/>
      <w:r w:rsidRPr="000E69D9">
        <w:rPr>
          <w:rFonts w:ascii="Times New Roman" w:hAnsi="Times New Roman" w:cs="Times New Roman"/>
          <w:i/>
        </w:rPr>
        <w:t>Stuides</w:t>
      </w:r>
      <w:proofErr w:type="spellEnd"/>
      <w:r w:rsidRPr="000E69D9">
        <w:rPr>
          <w:rFonts w:ascii="Times New Roman" w:hAnsi="Times New Roman" w:cs="Times New Roman"/>
        </w:rPr>
        <w:t xml:space="preserve"> 27 no. 1 (</w:t>
      </w:r>
      <w:proofErr w:type="spellStart"/>
      <w:r w:rsidRPr="000E69D9">
        <w:rPr>
          <w:rFonts w:ascii="Times New Roman" w:hAnsi="Times New Roman" w:cs="Times New Roman"/>
        </w:rPr>
        <w:t>n.d.</w:t>
      </w:r>
      <w:proofErr w:type="spellEnd"/>
      <w:r w:rsidRPr="000E69D9">
        <w:rPr>
          <w:rFonts w:ascii="Times New Roman" w:hAnsi="Times New Roman" w:cs="Times New Roman"/>
        </w:rPr>
        <w:t>): 26.</w:t>
      </w:r>
    </w:p>
  </w:footnote>
  <w:footnote w:id="31">
    <w:p w14:paraId="167C3A2F" w14:textId="77777777" w:rsidR="00BC3EC4" w:rsidRDefault="00BC3EC4" w:rsidP="00961436">
      <w:pPr>
        <w:pStyle w:val="FootnoteText"/>
      </w:pPr>
      <w:r w:rsidRPr="000E69D9">
        <w:rPr>
          <w:rStyle w:val="FootnoteReference"/>
          <w:rFonts w:ascii="Times New Roman" w:hAnsi="Times New Roman" w:cs="Times New Roman"/>
        </w:rPr>
        <w:footnoteRef/>
      </w:r>
      <w:r w:rsidRPr="000E69D9">
        <w:rPr>
          <w:rFonts w:ascii="Times New Roman" w:hAnsi="Times New Roman" w:cs="Times New Roman"/>
        </w:rPr>
        <w:t xml:space="preserve"> Maarten Van </w:t>
      </w:r>
      <w:proofErr w:type="spellStart"/>
      <w:r w:rsidRPr="000E69D9">
        <w:rPr>
          <w:rFonts w:ascii="Times New Roman" w:hAnsi="Times New Roman" w:cs="Times New Roman"/>
        </w:rPr>
        <w:t>Ginderachter</w:t>
      </w:r>
      <w:proofErr w:type="spellEnd"/>
      <w:r w:rsidRPr="000E69D9">
        <w:rPr>
          <w:rFonts w:ascii="Times New Roman" w:hAnsi="Times New Roman" w:cs="Times New Roman"/>
        </w:rPr>
        <w:t xml:space="preserve"> and </w:t>
      </w:r>
      <w:proofErr w:type="spellStart"/>
      <w:r w:rsidRPr="000E69D9">
        <w:rPr>
          <w:rFonts w:ascii="Times New Roman" w:hAnsi="Times New Roman" w:cs="Times New Roman"/>
        </w:rPr>
        <w:t>Joep</w:t>
      </w:r>
      <w:proofErr w:type="spellEnd"/>
      <w:r w:rsidRPr="000E69D9">
        <w:rPr>
          <w:rFonts w:ascii="Times New Roman" w:hAnsi="Times New Roman" w:cs="Times New Roman"/>
        </w:rPr>
        <w:t xml:space="preserve"> </w:t>
      </w:r>
      <w:proofErr w:type="spellStart"/>
      <w:r w:rsidRPr="000E69D9">
        <w:rPr>
          <w:rFonts w:ascii="Times New Roman" w:hAnsi="Times New Roman" w:cs="Times New Roman"/>
        </w:rPr>
        <w:t>Leerssen</w:t>
      </w:r>
      <w:proofErr w:type="spellEnd"/>
      <w:r w:rsidRPr="000E69D9">
        <w:rPr>
          <w:rFonts w:ascii="Times New Roman" w:hAnsi="Times New Roman" w:cs="Times New Roman"/>
        </w:rPr>
        <w:t xml:space="preserve">, “Denied </w:t>
      </w:r>
      <w:proofErr w:type="spellStart"/>
      <w:r w:rsidRPr="000E69D9">
        <w:rPr>
          <w:rFonts w:ascii="Times New Roman" w:hAnsi="Times New Roman" w:cs="Times New Roman"/>
        </w:rPr>
        <w:t>ethnicism</w:t>
      </w:r>
      <w:proofErr w:type="spellEnd"/>
      <w:r w:rsidRPr="000E69D9">
        <w:rPr>
          <w:rFonts w:ascii="Times New Roman" w:hAnsi="Times New Roman" w:cs="Times New Roman"/>
        </w:rPr>
        <w:t xml:space="preserve">: on the Walloon movement in Belgium,” </w:t>
      </w:r>
      <w:r w:rsidRPr="000E69D9">
        <w:rPr>
          <w:rFonts w:ascii="Times New Roman" w:hAnsi="Times New Roman" w:cs="Times New Roman"/>
          <w:i/>
        </w:rPr>
        <w:t>Nations and Nationalism</w:t>
      </w:r>
      <w:r w:rsidRPr="000E69D9">
        <w:rPr>
          <w:rFonts w:ascii="Times New Roman" w:hAnsi="Times New Roman" w:cs="Times New Roman"/>
        </w:rPr>
        <w:t xml:space="preserve"> 18 no. 2 (2012): 234.</w:t>
      </w:r>
    </w:p>
  </w:footnote>
  <w:footnote w:id="32">
    <w:p w14:paraId="36D0DECA" w14:textId="77777777" w:rsidR="00BC3EC4" w:rsidRPr="00AB383B" w:rsidRDefault="00BC3EC4" w:rsidP="00961436">
      <w:pPr>
        <w:pStyle w:val="FootnoteText"/>
        <w:rPr>
          <w:rFonts w:ascii="Times New Roman" w:hAnsi="Times New Roman" w:cs="Times New Roman"/>
        </w:rPr>
      </w:pPr>
      <w:r w:rsidRPr="00AB383B">
        <w:rPr>
          <w:rStyle w:val="FootnoteReference"/>
          <w:rFonts w:ascii="Times New Roman" w:hAnsi="Times New Roman" w:cs="Times New Roman"/>
        </w:rPr>
        <w:footnoteRef/>
      </w:r>
      <w:r w:rsidRPr="00AB383B">
        <w:rPr>
          <w:rFonts w:ascii="Times New Roman" w:hAnsi="Times New Roman" w:cs="Times New Roman"/>
        </w:rPr>
        <w:t xml:space="preserve"> Benedict Anderson, </w:t>
      </w:r>
      <w:r w:rsidRPr="00AB383B">
        <w:rPr>
          <w:rFonts w:ascii="Times New Roman" w:hAnsi="Times New Roman" w:cs="Times New Roman"/>
          <w:i/>
        </w:rPr>
        <w:t>Imagined Communities: Reflections on the Origin and Spread of Nationalism</w:t>
      </w:r>
      <w:r w:rsidRPr="00AB383B">
        <w:rPr>
          <w:rFonts w:ascii="Times New Roman" w:hAnsi="Times New Roman" w:cs="Times New Roman"/>
        </w:rPr>
        <w:t xml:space="preserve"> (London: </w:t>
      </w:r>
      <w:proofErr w:type="spellStart"/>
      <w:r w:rsidRPr="00AB383B">
        <w:rPr>
          <w:rFonts w:ascii="Times New Roman" w:hAnsi="Times New Roman" w:cs="Times New Roman"/>
        </w:rPr>
        <w:t>Verson</w:t>
      </w:r>
      <w:proofErr w:type="spellEnd"/>
      <w:r w:rsidRPr="00AB383B">
        <w:rPr>
          <w:rFonts w:ascii="Times New Roman" w:hAnsi="Times New Roman" w:cs="Times New Roman"/>
        </w:rPr>
        <w:t>, 2016), 6.</w:t>
      </w:r>
    </w:p>
  </w:footnote>
  <w:footnote w:id="33">
    <w:p w14:paraId="05FFAA54" w14:textId="77777777" w:rsidR="00BC3EC4" w:rsidRPr="00AB383B" w:rsidRDefault="00BC3EC4" w:rsidP="00961436">
      <w:pPr>
        <w:pStyle w:val="FootnoteText"/>
        <w:rPr>
          <w:rFonts w:ascii="Times New Roman" w:hAnsi="Times New Roman" w:cs="Times New Roman"/>
        </w:rPr>
      </w:pPr>
      <w:r w:rsidRPr="00AB383B">
        <w:rPr>
          <w:rStyle w:val="FootnoteReference"/>
          <w:rFonts w:ascii="Times New Roman" w:hAnsi="Times New Roman" w:cs="Times New Roman"/>
        </w:rPr>
        <w:footnoteRef/>
      </w:r>
      <w:r w:rsidRPr="00AB383B">
        <w:rPr>
          <w:rFonts w:ascii="Times New Roman" w:hAnsi="Times New Roman" w:cs="Times New Roman"/>
        </w:rPr>
        <w:t xml:space="preserve"> Ibid., 40.</w:t>
      </w:r>
    </w:p>
  </w:footnote>
  <w:footnote w:id="34">
    <w:p w14:paraId="3C35FBCF" w14:textId="77777777" w:rsidR="00BC3EC4" w:rsidRPr="00AB383B" w:rsidRDefault="00BC3EC4" w:rsidP="00961436">
      <w:pPr>
        <w:pStyle w:val="FootnoteText"/>
        <w:rPr>
          <w:rFonts w:ascii="Times New Roman" w:hAnsi="Times New Roman" w:cs="Times New Roman"/>
        </w:rPr>
      </w:pPr>
      <w:r w:rsidRPr="00AB383B">
        <w:rPr>
          <w:rStyle w:val="FootnoteReference"/>
          <w:rFonts w:ascii="Times New Roman" w:hAnsi="Times New Roman" w:cs="Times New Roman"/>
        </w:rPr>
        <w:footnoteRef/>
      </w:r>
      <w:r w:rsidRPr="00AB383B">
        <w:rPr>
          <w:rFonts w:ascii="Times New Roman" w:hAnsi="Times New Roman" w:cs="Times New Roman"/>
        </w:rPr>
        <w:t xml:space="preserve"> Ibid., 44-45.</w:t>
      </w:r>
    </w:p>
  </w:footnote>
  <w:footnote w:id="35">
    <w:p w14:paraId="6DB43F28" w14:textId="77777777" w:rsidR="00BC3EC4" w:rsidRPr="00AB383B" w:rsidRDefault="00BC3EC4" w:rsidP="00961436">
      <w:pPr>
        <w:pStyle w:val="FootnoteText"/>
        <w:rPr>
          <w:rFonts w:ascii="Times New Roman" w:hAnsi="Times New Roman" w:cs="Times New Roman"/>
        </w:rPr>
      </w:pPr>
      <w:r w:rsidRPr="00AB383B">
        <w:rPr>
          <w:rStyle w:val="FootnoteReference"/>
          <w:rFonts w:ascii="Times New Roman" w:hAnsi="Times New Roman" w:cs="Times New Roman"/>
        </w:rPr>
        <w:footnoteRef/>
      </w:r>
      <w:r w:rsidRPr="00AB383B">
        <w:rPr>
          <w:rFonts w:ascii="Times New Roman" w:hAnsi="Times New Roman" w:cs="Times New Roman"/>
        </w:rPr>
        <w:t xml:space="preserve"> Anthony D. Smith, </w:t>
      </w:r>
      <w:r w:rsidRPr="00AB383B">
        <w:rPr>
          <w:rFonts w:ascii="Times New Roman" w:hAnsi="Times New Roman" w:cs="Times New Roman"/>
          <w:i/>
        </w:rPr>
        <w:t>Myth and Memories of the Nation</w:t>
      </w:r>
      <w:r w:rsidRPr="00AB383B">
        <w:rPr>
          <w:rFonts w:ascii="Times New Roman" w:hAnsi="Times New Roman" w:cs="Times New Roman"/>
        </w:rPr>
        <w:t xml:space="preserve"> (New York: Oxford University Press, 1999), 9, emphasis in original.</w:t>
      </w:r>
    </w:p>
  </w:footnote>
  <w:footnote w:id="36">
    <w:p w14:paraId="603724EB" w14:textId="77777777" w:rsidR="00BC3EC4" w:rsidRPr="00AB383B" w:rsidRDefault="00BC3EC4" w:rsidP="00961436">
      <w:pPr>
        <w:pStyle w:val="FootnoteText"/>
        <w:rPr>
          <w:rFonts w:ascii="Times New Roman" w:hAnsi="Times New Roman" w:cs="Times New Roman"/>
        </w:rPr>
      </w:pPr>
      <w:r w:rsidRPr="00AB383B">
        <w:rPr>
          <w:rStyle w:val="FootnoteReference"/>
          <w:rFonts w:ascii="Times New Roman" w:hAnsi="Times New Roman" w:cs="Times New Roman"/>
        </w:rPr>
        <w:footnoteRef/>
      </w:r>
      <w:r w:rsidRPr="00AB383B">
        <w:rPr>
          <w:rFonts w:ascii="Times New Roman" w:hAnsi="Times New Roman" w:cs="Times New Roman"/>
        </w:rPr>
        <w:t xml:space="preserve"> Ibid., 12, emphasis in original.</w:t>
      </w:r>
    </w:p>
  </w:footnote>
  <w:footnote w:id="37">
    <w:p w14:paraId="3E903BD7" w14:textId="77777777" w:rsidR="00BC3EC4" w:rsidRPr="00AB383B" w:rsidRDefault="00BC3EC4" w:rsidP="00961436">
      <w:pPr>
        <w:pStyle w:val="FootnoteText"/>
        <w:rPr>
          <w:rFonts w:ascii="Times New Roman" w:hAnsi="Times New Roman" w:cs="Times New Roman"/>
        </w:rPr>
      </w:pPr>
      <w:r w:rsidRPr="00AB383B">
        <w:rPr>
          <w:rStyle w:val="FootnoteReference"/>
          <w:rFonts w:ascii="Times New Roman" w:hAnsi="Times New Roman" w:cs="Times New Roman"/>
        </w:rPr>
        <w:footnoteRef/>
      </w:r>
      <w:r w:rsidRPr="00AB383B">
        <w:rPr>
          <w:rFonts w:ascii="Times New Roman" w:hAnsi="Times New Roman" w:cs="Times New Roman"/>
        </w:rPr>
        <w:t xml:space="preserve"> Jeff Todd </w:t>
      </w:r>
      <w:proofErr w:type="spellStart"/>
      <w:r w:rsidRPr="00AB383B">
        <w:rPr>
          <w:rFonts w:ascii="Times New Roman" w:hAnsi="Times New Roman" w:cs="Times New Roman"/>
        </w:rPr>
        <w:t>Titon</w:t>
      </w:r>
      <w:proofErr w:type="spellEnd"/>
      <w:r w:rsidRPr="00AB383B">
        <w:rPr>
          <w:rFonts w:ascii="Times New Roman" w:hAnsi="Times New Roman" w:cs="Times New Roman"/>
        </w:rPr>
        <w:t xml:space="preserve">, “Music, Folk and Traditional,” in </w:t>
      </w:r>
      <w:r w:rsidRPr="00AB383B">
        <w:rPr>
          <w:rFonts w:ascii="Times New Roman" w:hAnsi="Times New Roman" w:cs="Times New Roman"/>
          <w:i/>
        </w:rPr>
        <w:t>Folklore, Cultural Performances, and Popular Entertainments</w:t>
      </w:r>
      <w:r w:rsidRPr="00AB383B">
        <w:rPr>
          <w:rFonts w:ascii="Times New Roman" w:hAnsi="Times New Roman" w:cs="Times New Roman"/>
        </w:rPr>
        <w:t>, ed. Richard Bauman (New York: Oxford University Press, 1992), 167.</w:t>
      </w:r>
    </w:p>
  </w:footnote>
  <w:footnote w:id="38">
    <w:p w14:paraId="3E54733C" w14:textId="77777777" w:rsidR="00BC3EC4" w:rsidRPr="00AB383B" w:rsidRDefault="00BC3EC4" w:rsidP="00961436">
      <w:pPr>
        <w:pStyle w:val="FootnoteText"/>
        <w:rPr>
          <w:rFonts w:ascii="Times New Roman" w:hAnsi="Times New Roman" w:cs="Times New Roman"/>
        </w:rPr>
      </w:pPr>
      <w:r w:rsidRPr="00AB383B">
        <w:rPr>
          <w:rStyle w:val="FootnoteReference"/>
          <w:rFonts w:ascii="Times New Roman" w:hAnsi="Times New Roman" w:cs="Times New Roman"/>
        </w:rPr>
        <w:footnoteRef/>
      </w:r>
      <w:r w:rsidRPr="00AB383B">
        <w:rPr>
          <w:rFonts w:ascii="Times New Roman" w:hAnsi="Times New Roman" w:cs="Times New Roman"/>
        </w:rPr>
        <w:t xml:space="preserve"> Ibid.</w:t>
      </w:r>
    </w:p>
  </w:footnote>
  <w:footnote w:id="39">
    <w:p w14:paraId="48D58D41" w14:textId="77777777" w:rsidR="00BC3EC4" w:rsidRPr="00AB383B" w:rsidRDefault="00BC3EC4" w:rsidP="00961436">
      <w:pPr>
        <w:pStyle w:val="FootnoteText"/>
        <w:rPr>
          <w:rFonts w:ascii="Times New Roman" w:hAnsi="Times New Roman" w:cs="Times New Roman"/>
        </w:rPr>
      </w:pPr>
      <w:r w:rsidRPr="00AB383B">
        <w:rPr>
          <w:rStyle w:val="FootnoteReference"/>
          <w:rFonts w:ascii="Times New Roman" w:hAnsi="Times New Roman" w:cs="Times New Roman"/>
        </w:rPr>
        <w:footnoteRef/>
      </w:r>
      <w:r w:rsidRPr="00AB383B">
        <w:rPr>
          <w:rFonts w:ascii="Times New Roman" w:hAnsi="Times New Roman" w:cs="Times New Roman"/>
        </w:rPr>
        <w:t xml:space="preserve"> Ibid., 167-168.</w:t>
      </w:r>
    </w:p>
  </w:footnote>
  <w:footnote w:id="40">
    <w:p w14:paraId="4398C2E4" w14:textId="77777777" w:rsidR="00BC3EC4" w:rsidRPr="00AB383B" w:rsidRDefault="00BC3EC4" w:rsidP="00961436">
      <w:pPr>
        <w:pStyle w:val="FootnoteText"/>
        <w:rPr>
          <w:rFonts w:ascii="Times New Roman" w:hAnsi="Times New Roman" w:cs="Times New Roman"/>
        </w:rPr>
      </w:pPr>
      <w:r w:rsidRPr="00AB383B">
        <w:rPr>
          <w:rStyle w:val="FootnoteReference"/>
          <w:rFonts w:ascii="Times New Roman" w:hAnsi="Times New Roman" w:cs="Times New Roman"/>
        </w:rPr>
        <w:footnoteRef/>
      </w:r>
      <w:r w:rsidRPr="00AB383B">
        <w:rPr>
          <w:rFonts w:ascii="Times New Roman" w:hAnsi="Times New Roman" w:cs="Times New Roman"/>
        </w:rPr>
        <w:t xml:space="preserve"> Ibid., 168-169.</w:t>
      </w:r>
    </w:p>
  </w:footnote>
  <w:footnote w:id="41">
    <w:p w14:paraId="56797B38" w14:textId="77777777" w:rsidR="00BC3EC4" w:rsidRPr="00AB383B" w:rsidRDefault="00BC3EC4" w:rsidP="00961436">
      <w:pPr>
        <w:pStyle w:val="FootnoteText"/>
        <w:rPr>
          <w:rFonts w:ascii="Times New Roman" w:hAnsi="Times New Roman" w:cs="Times New Roman"/>
        </w:rPr>
      </w:pPr>
      <w:r w:rsidRPr="00AB383B">
        <w:rPr>
          <w:rStyle w:val="FootnoteReference"/>
          <w:rFonts w:ascii="Times New Roman" w:hAnsi="Times New Roman" w:cs="Times New Roman"/>
        </w:rPr>
        <w:footnoteRef/>
      </w:r>
      <w:r w:rsidRPr="00AB383B">
        <w:rPr>
          <w:rFonts w:ascii="Times New Roman" w:hAnsi="Times New Roman" w:cs="Times New Roman"/>
        </w:rPr>
        <w:t xml:space="preserve"> Adrienne L. </w:t>
      </w:r>
      <w:proofErr w:type="spellStart"/>
      <w:r w:rsidRPr="00AB383B">
        <w:rPr>
          <w:rFonts w:ascii="Times New Roman" w:hAnsi="Times New Roman" w:cs="Times New Roman"/>
        </w:rPr>
        <w:t>Kaeppler</w:t>
      </w:r>
      <w:proofErr w:type="spellEnd"/>
      <w:r w:rsidRPr="00AB383B">
        <w:rPr>
          <w:rFonts w:ascii="Times New Roman" w:hAnsi="Times New Roman" w:cs="Times New Roman"/>
        </w:rPr>
        <w:t xml:space="preserve">, “Dance,” in </w:t>
      </w:r>
      <w:r w:rsidRPr="00AB383B">
        <w:rPr>
          <w:rFonts w:ascii="Times New Roman" w:hAnsi="Times New Roman" w:cs="Times New Roman"/>
          <w:i/>
        </w:rPr>
        <w:t>Folklore, Cultural Performances, and Popular Entertainments</w:t>
      </w:r>
      <w:r w:rsidRPr="00AB383B">
        <w:rPr>
          <w:rFonts w:ascii="Times New Roman" w:hAnsi="Times New Roman" w:cs="Times New Roman"/>
        </w:rPr>
        <w:t>, ed. Richard Bauman (New York: Oxford University Press, 1992), 197.</w:t>
      </w:r>
    </w:p>
  </w:footnote>
  <w:footnote w:id="42">
    <w:p w14:paraId="0D78FDBF" w14:textId="77777777" w:rsidR="00BC3EC4" w:rsidRPr="00AB383B" w:rsidRDefault="00BC3EC4" w:rsidP="00961436">
      <w:pPr>
        <w:pStyle w:val="FootnoteText"/>
        <w:rPr>
          <w:rFonts w:ascii="Times New Roman" w:hAnsi="Times New Roman" w:cs="Times New Roman"/>
        </w:rPr>
      </w:pPr>
      <w:r w:rsidRPr="00AB383B">
        <w:rPr>
          <w:rStyle w:val="FootnoteReference"/>
          <w:rFonts w:ascii="Times New Roman" w:hAnsi="Times New Roman" w:cs="Times New Roman"/>
        </w:rPr>
        <w:footnoteRef/>
      </w:r>
      <w:r w:rsidRPr="00AB383B">
        <w:rPr>
          <w:rFonts w:ascii="Times New Roman" w:hAnsi="Times New Roman" w:cs="Times New Roman"/>
        </w:rPr>
        <w:t xml:space="preserve"> Anne Schley Duggan, Jeanette </w:t>
      </w:r>
      <w:proofErr w:type="spellStart"/>
      <w:r w:rsidRPr="00AB383B">
        <w:rPr>
          <w:rFonts w:ascii="Times New Roman" w:hAnsi="Times New Roman" w:cs="Times New Roman"/>
        </w:rPr>
        <w:t>Schlottmann</w:t>
      </w:r>
      <w:proofErr w:type="spellEnd"/>
      <w:r w:rsidRPr="00AB383B">
        <w:rPr>
          <w:rFonts w:ascii="Times New Roman" w:hAnsi="Times New Roman" w:cs="Times New Roman"/>
        </w:rPr>
        <w:t xml:space="preserve">, and Abbie Rutledge, </w:t>
      </w:r>
      <w:r w:rsidRPr="00AB383B">
        <w:rPr>
          <w:rFonts w:ascii="Times New Roman" w:hAnsi="Times New Roman" w:cs="Times New Roman"/>
          <w:i/>
        </w:rPr>
        <w:t>The Teaching of Folk Dance</w:t>
      </w:r>
      <w:r w:rsidRPr="00AB383B">
        <w:rPr>
          <w:rFonts w:ascii="Times New Roman" w:hAnsi="Times New Roman" w:cs="Times New Roman"/>
        </w:rPr>
        <w:t xml:space="preserve"> (New York: The Ronald Press Company, 1948), 17.</w:t>
      </w:r>
    </w:p>
  </w:footnote>
  <w:footnote w:id="43">
    <w:p w14:paraId="75AB3929" w14:textId="77777777" w:rsidR="00BC3EC4" w:rsidRPr="00AB383B" w:rsidRDefault="00BC3EC4" w:rsidP="00961436">
      <w:pPr>
        <w:pStyle w:val="FootnoteText"/>
        <w:rPr>
          <w:rFonts w:ascii="Times New Roman" w:hAnsi="Times New Roman" w:cs="Times New Roman"/>
        </w:rPr>
      </w:pPr>
      <w:r w:rsidRPr="00AB383B">
        <w:rPr>
          <w:rStyle w:val="FootnoteReference"/>
          <w:rFonts w:ascii="Times New Roman" w:hAnsi="Times New Roman" w:cs="Times New Roman"/>
        </w:rPr>
        <w:footnoteRef/>
      </w:r>
      <w:r w:rsidRPr="00AB383B">
        <w:rPr>
          <w:rFonts w:ascii="Times New Roman" w:hAnsi="Times New Roman" w:cs="Times New Roman"/>
        </w:rPr>
        <w:t xml:space="preserve"> Ibid.</w:t>
      </w:r>
    </w:p>
  </w:footnote>
  <w:footnote w:id="44">
    <w:p w14:paraId="03E72CF0" w14:textId="2E139B96" w:rsidR="00BC3EC4" w:rsidRPr="00BC3EC4" w:rsidRDefault="00BC3EC4">
      <w:pPr>
        <w:pStyle w:val="FootnoteText"/>
        <w:rPr>
          <w:rFonts w:ascii="Times New Roman" w:hAnsi="Times New Roman" w:cs="Times New Roman"/>
        </w:rPr>
      </w:pPr>
      <w:r w:rsidRPr="00BC3EC4">
        <w:rPr>
          <w:rStyle w:val="FootnoteReference"/>
          <w:rFonts w:ascii="Times New Roman" w:hAnsi="Times New Roman" w:cs="Times New Roman"/>
        </w:rPr>
        <w:footnoteRef/>
      </w:r>
      <w:r w:rsidRPr="00BC3EC4">
        <w:rPr>
          <w:rFonts w:ascii="Times New Roman" w:hAnsi="Times New Roman" w:cs="Times New Roman"/>
        </w:rPr>
        <w:t xml:space="preserve"> Due to source limitations, this thesis focuses more on the role of folk music than folk dance. However, folk dance was present in constructions of identity in both Scotland and Korea.</w:t>
      </w:r>
    </w:p>
  </w:footnote>
  <w:footnote w:id="45">
    <w:p w14:paraId="44BCE39D" w14:textId="77777777" w:rsidR="00BC3EC4" w:rsidRPr="00AB383B" w:rsidRDefault="00BC3EC4" w:rsidP="00961436">
      <w:pPr>
        <w:pStyle w:val="FootnoteText"/>
        <w:rPr>
          <w:rFonts w:ascii="Times New Roman" w:hAnsi="Times New Roman" w:cs="Times New Roman"/>
        </w:rPr>
      </w:pPr>
      <w:r w:rsidRPr="00AB383B">
        <w:rPr>
          <w:rStyle w:val="FootnoteReference"/>
          <w:rFonts w:ascii="Times New Roman" w:hAnsi="Times New Roman" w:cs="Times New Roman"/>
        </w:rPr>
        <w:footnoteRef/>
      </w:r>
      <w:r w:rsidRPr="00AB383B">
        <w:rPr>
          <w:rFonts w:ascii="Times New Roman" w:hAnsi="Times New Roman" w:cs="Times New Roman"/>
        </w:rPr>
        <w:t xml:space="preserve"> Fiona Watson, “The Wars of Independence” in </w:t>
      </w:r>
      <w:r w:rsidRPr="00AB383B">
        <w:rPr>
          <w:rFonts w:ascii="Times New Roman" w:hAnsi="Times New Roman" w:cs="Times New Roman"/>
          <w:i/>
        </w:rPr>
        <w:t>In Search of Scotland</w:t>
      </w:r>
      <w:r w:rsidRPr="00AB383B">
        <w:rPr>
          <w:rFonts w:ascii="Times New Roman" w:hAnsi="Times New Roman" w:cs="Times New Roman"/>
        </w:rPr>
        <w:t xml:space="preserve"> ed., Gordon Menzies (Edinburgh: Polygon Press, 2001), 68, 83.</w:t>
      </w:r>
    </w:p>
  </w:footnote>
  <w:footnote w:id="46">
    <w:p w14:paraId="1D74D27B" w14:textId="77777777" w:rsidR="00BC3EC4" w:rsidRPr="00AB383B" w:rsidRDefault="00BC3EC4" w:rsidP="00961436">
      <w:pPr>
        <w:pStyle w:val="FootnoteText"/>
        <w:rPr>
          <w:rFonts w:ascii="Times New Roman" w:hAnsi="Times New Roman" w:cs="Times New Roman"/>
        </w:rPr>
      </w:pPr>
      <w:r w:rsidRPr="00AB383B">
        <w:rPr>
          <w:rStyle w:val="FootnoteReference"/>
          <w:rFonts w:ascii="Times New Roman" w:hAnsi="Times New Roman" w:cs="Times New Roman"/>
        </w:rPr>
        <w:footnoteRef/>
      </w:r>
      <w:r w:rsidRPr="00AB383B">
        <w:rPr>
          <w:rFonts w:ascii="Times New Roman" w:hAnsi="Times New Roman" w:cs="Times New Roman"/>
        </w:rPr>
        <w:t xml:space="preserve"> Ibid., 70-71.</w:t>
      </w:r>
    </w:p>
  </w:footnote>
  <w:footnote w:id="47">
    <w:p w14:paraId="25BB875C" w14:textId="77777777" w:rsidR="00BC3EC4" w:rsidRPr="00AB383B" w:rsidRDefault="00BC3EC4" w:rsidP="00961436">
      <w:pPr>
        <w:pStyle w:val="FootnoteText"/>
        <w:rPr>
          <w:rFonts w:ascii="Times New Roman" w:hAnsi="Times New Roman" w:cs="Times New Roman"/>
        </w:rPr>
      </w:pPr>
      <w:r w:rsidRPr="00AB383B">
        <w:rPr>
          <w:rStyle w:val="FootnoteReference"/>
          <w:rFonts w:ascii="Times New Roman" w:hAnsi="Times New Roman" w:cs="Times New Roman"/>
        </w:rPr>
        <w:footnoteRef/>
      </w:r>
      <w:r w:rsidRPr="00AB383B">
        <w:rPr>
          <w:rFonts w:ascii="Times New Roman" w:hAnsi="Times New Roman" w:cs="Times New Roman"/>
        </w:rPr>
        <w:t xml:space="preserve"> Ibid., 72.</w:t>
      </w:r>
    </w:p>
  </w:footnote>
  <w:footnote w:id="48">
    <w:p w14:paraId="2644A39F" w14:textId="77777777" w:rsidR="00BC3EC4" w:rsidRPr="00AB383B" w:rsidRDefault="00BC3EC4" w:rsidP="00961436">
      <w:pPr>
        <w:pStyle w:val="FootnoteText"/>
        <w:rPr>
          <w:rFonts w:ascii="Times New Roman" w:hAnsi="Times New Roman" w:cs="Times New Roman"/>
        </w:rPr>
      </w:pPr>
      <w:r w:rsidRPr="00AB383B">
        <w:rPr>
          <w:rStyle w:val="FootnoteReference"/>
          <w:rFonts w:ascii="Times New Roman" w:hAnsi="Times New Roman" w:cs="Times New Roman"/>
        </w:rPr>
        <w:footnoteRef/>
      </w:r>
      <w:r w:rsidRPr="00AB383B">
        <w:rPr>
          <w:rFonts w:ascii="Times New Roman" w:hAnsi="Times New Roman" w:cs="Times New Roman"/>
        </w:rPr>
        <w:t xml:space="preserve"> Ibid., 72-73.</w:t>
      </w:r>
    </w:p>
  </w:footnote>
  <w:footnote w:id="49">
    <w:p w14:paraId="3245E461" w14:textId="77777777" w:rsidR="00BC3EC4" w:rsidRPr="00AB383B" w:rsidRDefault="00BC3EC4" w:rsidP="00961436">
      <w:pPr>
        <w:pStyle w:val="FootnoteText"/>
        <w:rPr>
          <w:rFonts w:ascii="Times New Roman" w:hAnsi="Times New Roman" w:cs="Times New Roman"/>
        </w:rPr>
      </w:pPr>
      <w:r w:rsidRPr="00AB383B">
        <w:rPr>
          <w:rStyle w:val="FootnoteReference"/>
          <w:rFonts w:ascii="Times New Roman" w:hAnsi="Times New Roman" w:cs="Times New Roman"/>
        </w:rPr>
        <w:footnoteRef/>
      </w:r>
      <w:r w:rsidRPr="00AB383B">
        <w:rPr>
          <w:rFonts w:ascii="Times New Roman" w:hAnsi="Times New Roman" w:cs="Times New Roman"/>
        </w:rPr>
        <w:t xml:space="preserve"> Ibid., 75.</w:t>
      </w:r>
    </w:p>
  </w:footnote>
  <w:footnote w:id="50">
    <w:p w14:paraId="3E571A01" w14:textId="77777777" w:rsidR="00BC3EC4" w:rsidRPr="00AB383B" w:rsidRDefault="00BC3EC4" w:rsidP="00961436">
      <w:pPr>
        <w:pStyle w:val="FootnoteText"/>
        <w:rPr>
          <w:rFonts w:ascii="Times New Roman" w:hAnsi="Times New Roman" w:cs="Times New Roman"/>
        </w:rPr>
      </w:pPr>
      <w:r w:rsidRPr="00AB383B">
        <w:rPr>
          <w:rStyle w:val="FootnoteReference"/>
          <w:rFonts w:ascii="Times New Roman" w:hAnsi="Times New Roman" w:cs="Times New Roman"/>
        </w:rPr>
        <w:footnoteRef/>
      </w:r>
      <w:r w:rsidRPr="00AB383B">
        <w:rPr>
          <w:rFonts w:ascii="Times New Roman" w:hAnsi="Times New Roman" w:cs="Times New Roman"/>
        </w:rPr>
        <w:t xml:space="preserve"> James Hunter, </w:t>
      </w:r>
      <w:r w:rsidRPr="00AB383B">
        <w:rPr>
          <w:rFonts w:ascii="Times New Roman" w:hAnsi="Times New Roman" w:cs="Times New Roman"/>
          <w:i/>
        </w:rPr>
        <w:t>Last of the Free: A Millennial History of the Highlands and Islands of Scotland</w:t>
      </w:r>
      <w:r w:rsidRPr="00AB383B">
        <w:rPr>
          <w:rFonts w:ascii="Times New Roman" w:hAnsi="Times New Roman" w:cs="Times New Roman"/>
        </w:rPr>
        <w:t xml:space="preserve"> (Edinburgh: Mainstream Publishing, 1999), 191.</w:t>
      </w:r>
    </w:p>
  </w:footnote>
  <w:footnote w:id="51">
    <w:p w14:paraId="2E8D7E1E" w14:textId="77777777" w:rsidR="00BC3EC4" w:rsidRPr="00AB383B" w:rsidRDefault="00BC3EC4" w:rsidP="00961436">
      <w:pPr>
        <w:pStyle w:val="FootnoteText"/>
        <w:rPr>
          <w:rFonts w:ascii="Times New Roman" w:hAnsi="Times New Roman" w:cs="Times New Roman"/>
        </w:rPr>
      </w:pPr>
      <w:r w:rsidRPr="00AB383B">
        <w:rPr>
          <w:rStyle w:val="FootnoteReference"/>
          <w:rFonts w:ascii="Times New Roman" w:hAnsi="Times New Roman" w:cs="Times New Roman"/>
        </w:rPr>
        <w:footnoteRef/>
      </w:r>
      <w:r w:rsidRPr="00AB383B">
        <w:rPr>
          <w:rFonts w:ascii="Times New Roman" w:hAnsi="Times New Roman" w:cs="Times New Roman"/>
        </w:rPr>
        <w:t xml:space="preserve"> Ibid., 195.</w:t>
      </w:r>
    </w:p>
  </w:footnote>
  <w:footnote w:id="52">
    <w:p w14:paraId="052C1201" w14:textId="77777777" w:rsidR="00BC3EC4" w:rsidRPr="00AB383B" w:rsidRDefault="00BC3EC4" w:rsidP="00961436">
      <w:pPr>
        <w:pStyle w:val="FootnoteText"/>
        <w:rPr>
          <w:rFonts w:ascii="Times New Roman" w:hAnsi="Times New Roman" w:cs="Times New Roman"/>
        </w:rPr>
      </w:pPr>
      <w:r w:rsidRPr="00AB383B">
        <w:rPr>
          <w:rStyle w:val="FootnoteReference"/>
          <w:rFonts w:ascii="Times New Roman" w:hAnsi="Times New Roman" w:cs="Times New Roman"/>
        </w:rPr>
        <w:footnoteRef/>
      </w:r>
      <w:r w:rsidRPr="00AB383B">
        <w:rPr>
          <w:rFonts w:ascii="Times New Roman" w:hAnsi="Times New Roman" w:cs="Times New Roman"/>
        </w:rPr>
        <w:t xml:space="preserve"> Ibid., 198.</w:t>
      </w:r>
    </w:p>
  </w:footnote>
  <w:footnote w:id="53">
    <w:p w14:paraId="06BB6052" w14:textId="77777777" w:rsidR="00BC3EC4" w:rsidRPr="00AB383B" w:rsidRDefault="00BC3EC4" w:rsidP="00961436">
      <w:pPr>
        <w:pStyle w:val="FootnoteText"/>
        <w:rPr>
          <w:rFonts w:ascii="Times New Roman" w:hAnsi="Times New Roman" w:cs="Times New Roman"/>
        </w:rPr>
      </w:pPr>
      <w:r w:rsidRPr="00AB383B">
        <w:rPr>
          <w:rStyle w:val="FootnoteReference"/>
          <w:rFonts w:ascii="Times New Roman" w:hAnsi="Times New Roman" w:cs="Times New Roman"/>
        </w:rPr>
        <w:footnoteRef/>
      </w:r>
      <w:r w:rsidRPr="00AB383B">
        <w:rPr>
          <w:rFonts w:ascii="Times New Roman" w:hAnsi="Times New Roman" w:cs="Times New Roman"/>
        </w:rPr>
        <w:t xml:space="preserve"> Ibid., 199.</w:t>
      </w:r>
    </w:p>
  </w:footnote>
  <w:footnote w:id="54">
    <w:p w14:paraId="5D6AE6DB" w14:textId="77777777" w:rsidR="00BC3EC4" w:rsidRPr="00AB383B" w:rsidRDefault="00BC3EC4" w:rsidP="00961436">
      <w:pPr>
        <w:pStyle w:val="FootnoteText"/>
        <w:rPr>
          <w:rFonts w:ascii="Times New Roman" w:hAnsi="Times New Roman" w:cs="Times New Roman"/>
        </w:rPr>
      </w:pPr>
      <w:r w:rsidRPr="00AB383B">
        <w:rPr>
          <w:rStyle w:val="FootnoteReference"/>
          <w:rFonts w:ascii="Times New Roman" w:hAnsi="Times New Roman" w:cs="Times New Roman"/>
        </w:rPr>
        <w:footnoteRef/>
      </w:r>
      <w:r w:rsidRPr="00AB383B">
        <w:rPr>
          <w:rFonts w:ascii="Times New Roman" w:hAnsi="Times New Roman" w:cs="Times New Roman"/>
        </w:rPr>
        <w:t xml:space="preserve"> Ibid., 199-200.</w:t>
      </w:r>
    </w:p>
  </w:footnote>
  <w:footnote w:id="55">
    <w:p w14:paraId="69273AD2" w14:textId="77777777" w:rsidR="00BC3EC4" w:rsidRPr="00AB383B" w:rsidRDefault="00BC3EC4" w:rsidP="00961436">
      <w:pPr>
        <w:pStyle w:val="FootnoteText"/>
        <w:rPr>
          <w:rFonts w:ascii="Times New Roman" w:hAnsi="Times New Roman" w:cs="Times New Roman"/>
        </w:rPr>
      </w:pPr>
      <w:r w:rsidRPr="00AB383B">
        <w:rPr>
          <w:rStyle w:val="FootnoteReference"/>
          <w:rFonts w:ascii="Times New Roman" w:hAnsi="Times New Roman" w:cs="Times New Roman"/>
        </w:rPr>
        <w:footnoteRef/>
      </w:r>
      <w:r w:rsidRPr="00AB383B">
        <w:rPr>
          <w:rFonts w:ascii="Times New Roman" w:hAnsi="Times New Roman" w:cs="Times New Roman"/>
        </w:rPr>
        <w:t xml:space="preserve"> Clark Sorenson, “National Identity and the Creation of the Category ‘Peasant’ in </w:t>
      </w:r>
      <w:proofErr w:type="spellStart"/>
      <w:r w:rsidRPr="00AB383B">
        <w:rPr>
          <w:rFonts w:ascii="Times New Roman" w:hAnsi="Times New Roman" w:cs="Times New Roman"/>
        </w:rPr>
        <w:t>Colonail</w:t>
      </w:r>
      <w:proofErr w:type="spellEnd"/>
      <w:r w:rsidRPr="00AB383B">
        <w:rPr>
          <w:rFonts w:ascii="Times New Roman" w:hAnsi="Times New Roman" w:cs="Times New Roman"/>
        </w:rPr>
        <w:t xml:space="preserve"> Korea,” in Colonial Modernity in Korea, ed. </w:t>
      </w:r>
      <w:proofErr w:type="spellStart"/>
      <w:r w:rsidRPr="00AB383B">
        <w:rPr>
          <w:rFonts w:ascii="Times New Roman" w:hAnsi="Times New Roman" w:cs="Times New Roman"/>
        </w:rPr>
        <w:t>Gi-Wook</w:t>
      </w:r>
      <w:proofErr w:type="spellEnd"/>
      <w:r w:rsidRPr="00AB383B">
        <w:rPr>
          <w:rFonts w:ascii="Times New Roman" w:hAnsi="Times New Roman" w:cs="Times New Roman"/>
        </w:rPr>
        <w:t xml:space="preserve"> Shin and Michael Edson Robinson (Boston: Harvard University Asia Center, 1999), 299.</w:t>
      </w:r>
    </w:p>
  </w:footnote>
  <w:footnote w:id="56">
    <w:p w14:paraId="21086D46" w14:textId="77777777" w:rsidR="00BC3EC4" w:rsidRPr="00AB383B" w:rsidRDefault="00BC3EC4" w:rsidP="00961436">
      <w:pPr>
        <w:pStyle w:val="FootnoteText"/>
        <w:rPr>
          <w:rFonts w:ascii="Times New Roman" w:hAnsi="Times New Roman" w:cs="Times New Roman"/>
        </w:rPr>
      </w:pPr>
      <w:r w:rsidRPr="00AB383B">
        <w:rPr>
          <w:rStyle w:val="FootnoteReference"/>
          <w:rFonts w:ascii="Times New Roman" w:hAnsi="Times New Roman" w:cs="Times New Roman"/>
        </w:rPr>
        <w:footnoteRef/>
      </w:r>
      <w:r w:rsidRPr="00AB383B">
        <w:rPr>
          <w:rFonts w:ascii="Times New Roman" w:hAnsi="Times New Roman" w:cs="Times New Roman"/>
        </w:rPr>
        <w:t xml:space="preserve"> E. Taylor Atkins, </w:t>
      </w:r>
      <w:r w:rsidRPr="00AB383B">
        <w:rPr>
          <w:rFonts w:ascii="Times New Roman" w:hAnsi="Times New Roman" w:cs="Times New Roman"/>
          <w:i/>
        </w:rPr>
        <w:t xml:space="preserve">Primitive Selves: </w:t>
      </w:r>
      <w:proofErr w:type="spellStart"/>
      <w:r w:rsidRPr="00AB383B">
        <w:rPr>
          <w:rFonts w:ascii="Times New Roman" w:hAnsi="Times New Roman" w:cs="Times New Roman"/>
          <w:i/>
        </w:rPr>
        <w:t>Koreana</w:t>
      </w:r>
      <w:proofErr w:type="spellEnd"/>
      <w:r w:rsidRPr="00AB383B">
        <w:rPr>
          <w:rFonts w:ascii="Times New Roman" w:hAnsi="Times New Roman" w:cs="Times New Roman"/>
          <w:i/>
        </w:rPr>
        <w:t xml:space="preserve"> in the Japanese Colonial Gaze, 1910-1945</w:t>
      </w:r>
      <w:r w:rsidRPr="00AB383B">
        <w:rPr>
          <w:rFonts w:ascii="Times New Roman" w:hAnsi="Times New Roman" w:cs="Times New Roman"/>
        </w:rPr>
        <w:t xml:space="preserve"> (Berkeley: University of California Press, 2010), 29.</w:t>
      </w:r>
    </w:p>
  </w:footnote>
  <w:footnote w:id="57">
    <w:p w14:paraId="5B54C7E2" w14:textId="77777777" w:rsidR="00BC3EC4" w:rsidRPr="00AB383B" w:rsidRDefault="00BC3EC4" w:rsidP="00961436">
      <w:pPr>
        <w:pStyle w:val="FootnoteText"/>
        <w:rPr>
          <w:rFonts w:ascii="Times New Roman" w:hAnsi="Times New Roman" w:cs="Times New Roman"/>
        </w:rPr>
      </w:pPr>
      <w:r w:rsidRPr="00AB383B">
        <w:rPr>
          <w:rStyle w:val="FootnoteReference"/>
          <w:rFonts w:ascii="Times New Roman" w:hAnsi="Times New Roman" w:cs="Times New Roman"/>
        </w:rPr>
        <w:footnoteRef/>
      </w:r>
      <w:r w:rsidRPr="00AB383B">
        <w:rPr>
          <w:rFonts w:ascii="Times New Roman" w:hAnsi="Times New Roman" w:cs="Times New Roman"/>
        </w:rPr>
        <w:t xml:space="preserve"> Han </w:t>
      </w:r>
      <w:proofErr w:type="spellStart"/>
      <w:r w:rsidRPr="00AB383B">
        <w:rPr>
          <w:rFonts w:ascii="Times New Roman" w:hAnsi="Times New Roman" w:cs="Times New Roman"/>
        </w:rPr>
        <w:t>Kyo</w:t>
      </w:r>
      <w:proofErr w:type="spellEnd"/>
      <w:r w:rsidRPr="00AB383B">
        <w:rPr>
          <w:rFonts w:ascii="Times New Roman" w:hAnsi="Times New Roman" w:cs="Times New Roman"/>
        </w:rPr>
        <w:t xml:space="preserve">-Kim, “The Declaration of Independence, March 1, 1919: A New Translation,” </w:t>
      </w:r>
      <w:r w:rsidRPr="00AB383B">
        <w:rPr>
          <w:rFonts w:ascii="Times New Roman" w:hAnsi="Times New Roman" w:cs="Times New Roman"/>
          <w:i/>
        </w:rPr>
        <w:t>Korean Studies</w:t>
      </w:r>
      <w:r w:rsidRPr="00AB383B">
        <w:rPr>
          <w:rFonts w:ascii="Times New Roman" w:hAnsi="Times New Roman" w:cs="Times New Roman"/>
        </w:rPr>
        <w:t xml:space="preserve"> 13 (1989): 3.</w:t>
      </w:r>
    </w:p>
  </w:footnote>
  <w:footnote w:id="58">
    <w:p w14:paraId="5E84FE71" w14:textId="77777777" w:rsidR="00BC3EC4" w:rsidRPr="00AB383B" w:rsidRDefault="00BC3EC4" w:rsidP="00961436">
      <w:pPr>
        <w:pStyle w:val="FootnoteText"/>
        <w:rPr>
          <w:rFonts w:ascii="Times New Roman" w:hAnsi="Times New Roman" w:cs="Times New Roman"/>
        </w:rPr>
      </w:pPr>
      <w:r w:rsidRPr="00AB383B">
        <w:rPr>
          <w:rStyle w:val="FootnoteReference"/>
          <w:rFonts w:ascii="Times New Roman" w:hAnsi="Times New Roman" w:cs="Times New Roman"/>
        </w:rPr>
        <w:footnoteRef/>
      </w:r>
      <w:r w:rsidRPr="00AB383B">
        <w:rPr>
          <w:rFonts w:ascii="Times New Roman" w:hAnsi="Times New Roman" w:cs="Times New Roman"/>
        </w:rPr>
        <w:t xml:space="preserve"> Michael E. Robinson, </w:t>
      </w:r>
      <w:r w:rsidRPr="00AB383B">
        <w:rPr>
          <w:rFonts w:ascii="Times New Roman" w:hAnsi="Times New Roman" w:cs="Times New Roman"/>
          <w:i/>
        </w:rPr>
        <w:t>Korea’s Twentieth-Century Odyssey: A Short History</w:t>
      </w:r>
      <w:r w:rsidRPr="00AB383B">
        <w:rPr>
          <w:rFonts w:ascii="Times New Roman" w:hAnsi="Times New Roman" w:cs="Times New Roman"/>
        </w:rPr>
        <w:t xml:space="preserve"> (Honolulu: University of Hawai’i Press, 2007), 47.</w:t>
      </w:r>
    </w:p>
  </w:footnote>
  <w:footnote w:id="59">
    <w:p w14:paraId="2F2230FC" w14:textId="77777777" w:rsidR="00BC3EC4" w:rsidRPr="00AB383B" w:rsidRDefault="00BC3EC4" w:rsidP="00961436">
      <w:pPr>
        <w:pStyle w:val="FootnoteText"/>
        <w:rPr>
          <w:rFonts w:ascii="Times New Roman" w:hAnsi="Times New Roman" w:cs="Times New Roman"/>
        </w:rPr>
      </w:pPr>
      <w:r w:rsidRPr="00AB383B">
        <w:rPr>
          <w:rStyle w:val="FootnoteReference"/>
          <w:rFonts w:ascii="Times New Roman" w:hAnsi="Times New Roman" w:cs="Times New Roman"/>
        </w:rPr>
        <w:footnoteRef/>
      </w:r>
      <w:r w:rsidRPr="00AB383B">
        <w:rPr>
          <w:rFonts w:ascii="Times New Roman" w:hAnsi="Times New Roman" w:cs="Times New Roman"/>
        </w:rPr>
        <w:t xml:space="preserve"> Michael Edson Robinson, </w:t>
      </w:r>
      <w:r w:rsidRPr="00AB383B">
        <w:rPr>
          <w:rFonts w:ascii="Times New Roman" w:hAnsi="Times New Roman" w:cs="Times New Roman"/>
          <w:i/>
        </w:rPr>
        <w:t>Cultural Nationalism in Colonial Korea, 1920-1925</w:t>
      </w:r>
      <w:r w:rsidRPr="00AB383B">
        <w:rPr>
          <w:rFonts w:ascii="Times New Roman" w:hAnsi="Times New Roman" w:cs="Times New Roman"/>
        </w:rPr>
        <w:t xml:space="preserve"> (Seattle: University of Washington Press, 1988), 6.</w:t>
      </w:r>
    </w:p>
  </w:footnote>
  <w:footnote w:id="60">
    <w:p w14:paraId="4DBDF7A8" w14:textId="77777777" w:rsidR="00BC3EC4" w:rsidRPr="00AB383B" w:rsidRDefault="00BC3EC4" w:rsidP="00961436">
      <w:pPr>
        <w:pStyle w:val="FootnoteText"/>
        <w:rPr>
          <w:rFonts w:ascii="Times New Roman" w:hAnsi="Times New Roman" w:cs="Times New Roman"/>
        </w:rPr>
      </w:pPr>
      <w:r w:rsidRPr="00AB383B">
        <w:rPr>
          <w:rStyle w:val="FootnoteReference"/>
          <w:rFonts w:ascii="Times New Roman" w:hAnsi="Times New Roman" w:cs="Times New Roman"/>
        </w:rPr>
        <w:footnoteRef/>
      </w:r>
      <w:r w:rsidRPr="00AB383B">
        <w:rPr>
          <w:rFonts w:ascii="Times New Roman" w:hAnsi="Times New Roman" w:cs="Times New Roman"/>
        </w:rPr>
        <w:t xml:space="preserve"> Michael E. Robinson, “Colonial Publication Policy and the Korean Nationalist Movement,” in </w:t>
      </w:r>
      <w:r w:rsidRPr="00AB383B">
        <w:rPr>
          <w:rFonts w:ascii="Times New Roman" w:hAnsi="Times New Roman" w:cs="Times New Roman"/>
          <w:i/>
        </w:rPr>
        <w:t>The Japanese Colonial Empire, 1895-1945</w:t>
      </w:r>
      <w:r w:rsidRPr="00AB383B">
        <w:rPr>
          <w:rFonts w:ascii="Times New Roman" w:hAnsi="Times New Roman" w:cs="Times New Roman"/>
        </w:rPr>
        <w:t xml:space="preserve"> ed. Ramon H. Myers and Mark R. </w:t>
      </w:r>
      <w:proofErr w:type="spellStart"/>
      <w:r w:rsidRPr="00AB383B">
        <w:rPr>
          <w:rFonts w:ascii="Times New Roman" w:hAnsi="Times New Roman" w:cs="Times New Roman"/>
        </w:rPr>
        <w:t>Peattle</w:t>
      </w:r>
      <w:proofErr w:type="spellEnd"/>
      <w:r w:rsidRPr="00AB383B">
        <w:rPr>
          <w:rFonts w:ascii="Times New Roman" w:hAnsi="Times New Roman" w:cs="Times New Roman"/>
        </w:rPr>
        <w:t xml:space="preserve"> (Princeton: Princeton University Press, 1984), 315.</w:t>
      </w:r>
    </w:p>
  </w:footnote>
  <w:footnote w:id="61">
    <w:p w14:paraId="0BD2C625" w14:textId="77777777" w:rsidR="00BC3EC4" w:rsidRPr="00AB383B" w:rsidRDefault="00BC3EC4" w:rsidP="00961436">
      <w:pPr>
        <w:pStyle w:val="FootnoteText"/>
        <w:rPr>
          <w:rFonts w:ascii="Times New Roman" w:hAnsi="Times New Roman" w:cs="Times New Roman"/>
        </w:rPr>
      </w:pPr>
      <w:r w:rsidRPr="00AB383B">
        <w:rPr>
          <w:rStyle w:val="FootnoteReference"/>
          <w:rFonts w:ascii="Times New Roman" w:hAnsi="Times New Roman" w:cs="Times New Roman"/>
        </w:rPr>
        <w:footnoteRef/>
      </w:r>
      <w:r w:rsidRPr="00AB383B">
        <w:rPr>
          <w:rFonts w:ascii="Times New Roman" w:hAnsi="Times New Roman" w:cs="Times New Roman"/>
        </w:rPr>
        <w:t xml:space="preserve"> Michael E. Robinson, </w:t>
      </w:r>
      <w:r w:rsidRPr="00AB383B">
        <w:rPr>
          <w:rFonts w:ascii="Times New Roman" w:hAnsi="Times New Roman" w:cs="Times New Roman"/>
          <w:i/>
        </w:rPr>
        <w:t>Korea’s Twentieth-Century Odyssey</w:t>
      </w:r>
      <w:r w:rsidRPr="00AB383B">
        <w:rPr>
          <w:rFonts w:ascii="Times New Roman" w:hAnsi="Times New Roman" w:cs="Times New Roman"/>
        </w:rPr>
        <w:t xml:space="preserve"> 13.</w:t>
      </w:r>
    </w:p>
  </w:footnote>
  <w:footnote w:id="62">
    <w:p w14:paraId="30083250" w14:textId="77777777" w:rsidR="00BC3EC4" w:rsidRPr="00AB383B" w:rsidRDefault="00BC3EC4" w:rsidP="00961436">
      <w:pPr>
        <w:pStyle w:val="FootnoteText"/>
        <w:rPr>
          <w:rFonts w:ascii="Times New Roman" w:hAnsi="Times New Roman" w:cs="Times New Roman"/>
        </w:rPr>
      </w:pPr>
      <w:r w:rsidRPr="00AB383B">
        <w:rPr>
          <w:rStyle w:val="FootnoteReference"/>
          <w:rFonts w:ascii="Times New Roman" w:hAnsi="Times New Roman" w:cs="Times New Roman"/>
        </w:rPr>
        <w:footnoteRef/>
      </w:r>
      <w:r w:rsidRPr="00AB383B">
        <w:rPr>
          <w:rFonts w:ascii="Times New Roman" w:hAnsi="Times New Roman" w:cs="Times New Roman"/>
        </w:rPr>
        <w:t xml:space="preserve"> Ibid., 30.</w:t>
      </w:r>
    </w:p>
  </w:footnote>
  <w:footnote w:id="63">
    <w:p w14:paraId="457EFBBB" w14:textId="77777777" w:rsidR="00BC3EC4" w:rsidRPr="00AB383B" w:rsidRDefault="00BC3EC4" w:rsidP="00961436">
      <w:pPr>
        <w:pStyle w:val="FootnoteText"/>
        <w:rPr>
          <w:rFonts w:ascii="Times New Roman" w:hAnsi="Times New Roman" w:cs="Times New Roman"/>
        </w:rPr>
      </w:pPr>
      <w:r w:rsidRPr="00AB383B">
        <w:rPr>
          <w:rStyle w:val="FootnoteReference"/>
          <w:rFonts w:ascii="Times New Roman" w:hAnsi="Times New Roman" w:cs="Times New Roman"/>
        </w:rPr>
        <w:footnoteRef/>
      </w:r>
      <w:r w:rsidRPr="00AB383B">
        <w:rPr>
          <w:rFonts w:ascii="Times New Roman" w:hAnsi="Times New Roman" w:cs="Times New Roman"/>
        </w:rPr>
        <w:t xml:space="preserve"> Ibid.</w:t>
      </w:r>
    </w:p>
  </w:footnote>
  <w:footnote w:id="64">
    <w:p w14:paraId="338C1884" w14:textId="77777777" w:rsidR="00BC3EC4" w:rsidRPr="00AB383B" w:rsidRDefault="00BC3EC4" w:rsidP="00961436">
      <w:pPr>
        <w:pStyle w:val="FootnoteText"/>
        <w:rPr>
          <w:rFonts w:ascii="Times New Roman" w:hAnsi="Times New Roman" w:cs="Times New Roman"/>
        </w:rPr>
      </w:pPr>
      <w:r w:rsidRPr="00AB383B">
        <w:rPr>
          <w:rStyle w:val="FootnoteReference"/>
          <w:rFonts w:ascii="Times New Roman" w:hAnsi="Times New Roman" w:cs="Times New Roman"/>
        </w:rPr>
        <w:footnoteRef/>
      </w:r>
      <w:r w:rsidRPr="00AB383B">
        <w:rPr>
          <w:rFonts w:ascii="Times New Roman" w:hAnsi="Times New Roman" w:cs="Times New Roman"/>
        </w:rPr>
        <w:t xml:space="preserve"> Lode </w:t>
      </w:r>
      <w:proofErr w:type="spellStart"/>
      <w:r w:rsidRPr="00AB383B">
        <w:rPr>
          <w:rFonts w:ascii="Times New Roman" w:hAnsi="Times New Roman" w:cs="Times New Roman"/>
        </w:rPr>
        <w:t>Wils</w:t>
      </w:r>
      <w:proofErr w:type="spellEnd"/>
      <w:r w:rsidRPr="00AB383B">
        <w:rPr>
          <w:rFonts w:ascii="Times New Roman" w:hAnsi="Times New Roman" w:cs="Times New Roman"/>
        </w:rPr>
        <w:t xml:space="preserve">, “A Brief History of the Flemish Movement,” in </w:t>
      </w:r>
      <w:r w:rsidRPr="00AB383B">
        <w:rPr>
          <w:rFonts w:ascii="Times New Roman" w:hAnsi="Times New Roman" w:cs="Times New Roman"/>
          <w:i/>
        </w:rPr>
        <w:t>The Flemish Movement: A Documentary History</w:t>
      </w:r>
      <w:r w:rsidRPr="00AB383B">
        <w:rPr>
          <w:rFonts w:ascii="Times New Roman" w:hAnsi="Times New Roman" w:cs="Times New Roman"/>
        </w:rPr>
        <w:t xml:space="preserve"> ed. Theo </w:t>
      </w:r>
      <w:proofErr w:type="spellStart"/>
      <w:r w:rsidRPr="00AB383B">
        <w:rPr>
          <w:rFonts w:ascii="Times New Roman" w:hAnsi="Times New Roman" w:cs="Times New Roman"/>
        </w:rPr>
        <w:t>Hermans</w:t>
      </w:r>
      <w:proofErr w:type="spellEnd"/>
      <w:r w:rsidRPr="00AB383B">
        <w:rPr>
          <w:rFonts w:ascii="Times New Roman" w:hAnsi="Times New Roman" w:cs="Times New Roman"/>
        </w:rPr>
        <w:t xml:space="preserve">, co ed. Louis </w:t>
      </w:r>
      <w:proofErr w:type="spellStart"/>
      <w:r w:rsidRPr="00AB383B">
        <w:rPr>
          <w:rFonts w:ascii="Times New Roman" w:hAnsi="Times New Roman" w:cs="Times New Roman"/>
        </w:rPr>
        <w:t>Vos</w:t>
      </w:r>
      <w:proofErr w:type="spellEnd"/>
      <w:r w:rsidRPr="00AB383B">
        <w:rPr>
          <w:rFonts w:ascii="Times New Roman" w:hAnsi="Times New Roman" w:cs="Times New Roman"/>
        </w:rPr>
        <w:t xml:space="preserve"> and Lode </w:t>
      </w:r>
      <w:proofErr w:type="spellStart"/>
      <w:r w:rsidRPr="00AB383B">
        <w:rPr>
          <w:rFonts w:ascii="Times New Roman" w:hAnsi="Times New Roman" w:cs="Times New Roman"/>
        </w:rPr>
        <w:t>Wils</w:t>
      </w:r>
      <w:proofErr w:type="spellEnd"/>
      <w:r w:rsidRPr="00AB383B">
        <w:rPr>
          <w:rFonts w:ascii="Times New Roman" w:hAnsi="Times New Roman" w:cs="Times New Roman"/>
        </w:rPr>
        <w:t xml:space="preserve"> (London: The </w:t>
      </w:r>
      <w:proofErr w:type="spellStart"/>
      <w:r w:rsidRPr="00AB383B">
        <w:rPr>
          <w:rFonts w:ascii="Times New Roman" w:hAnsi="Times New Roman" w:cs="Times New Roman"/>
        </w:rPr>
        <w:t>Athlone</w:t>
      </w:r>
      <w:proofErr w:type="spellEnd"/>
      <w:r w:rsidRPr="00AB383B">
        <w:rPr>
          <w:rFonts w:ascii="Times New Roman" w:hAnsi="Times New Roman" w:cs="Times New Roman"/>
        </w:rPr>
        <w:t xml:space="preserve"> Press, 1992), 2.</w:t>
      </w:r>
    </w:p>
  </w:footnote>
  <w:footnote w:id="65">
    <w:p w14:paraId="209542CB" w14:textId="77777777" w:rsidR="00BC3EC4" w:rsidRPr="00AB383B" w:rsidRDefault="00BC3EC4" w:rsidP="00961436">
      <w:pPr>
        <w:pStyle w:val="FootnoteText"/>
        <w:rPr>
          <w:rFonts w:ascii="Times New Roman" w:hAnsi="Times New Roman" w:cs="Times New Roman"/>
        </w:rPr>
      </w:pPr>
      <w:r w:rsidRPr="00AB383B">
        <w:rPr>
          <w:rStyle w:val="FootnoteReference"/>
          <w:rFonts w:ascii="Times New Roman" w:hAnsi="Times New Roman" w:cs="Times New Roman"/>
        </w:rPr>
        <w:footnoteRef/>
      </w:r>
      <w:r w:rsidRPr="00AB383B">
        <w:rPr>
          <w:rFonts w:ascii="Times New Roman" w:hAnsi="Times New Roman" w:cs="Times New Roman"/>
        </w:rPr>
        <w:t xml:space="preserve"> </w:t>
      </w:r>
      <w:r w:rsidRPr="00AB383B">
        <w:rPr>
          <w:rFonts w:ascii="Times New Roman" w:hAnsi="Times New Roman" w:cs="Times New Roman"/>
          <w:color w:val="232323"/>
        </w:rPr>
        <w:t>"Flemish Nationalism." In </w:t>
      </w:r>
      <w:r w:rsidRPr="00AB383B">
        <w:rPr>
          <w:rFonts w:ascii="Times New Roman" w:hAnsi="Times New Roman" w:cs="Times New Roman"/>
          <w:i/>
          <w:iCs/>
          <w:color w:val="232323"/>
        </w:rPr>
        <w:t>Encyclopedia of Nationalism: Leaders, Movements, and Concepts</w:t>
      </w:r>
      <w:r w:rsidRPr="00AB383B">
        <w:rPr>
          <w:rFonts w:ascii="Times New Roman" w:hAnsi="Times New Roman" w:cs="Times New Roman"/>
          <w:color w:val="232323"/>
        </w:rPr>
        <w:t xml:space="preserve">, edited by Alexander J. </w:t>
      </w:r>
      <w:proofErr w:type="spellStart"/>
      <w:r w:rsidRPr="00AB383B">
        <w:rPr>
          <w:rFonts w:ascii="Times New Roman" w:hAnsi="Times New Roman" w:cs="Times New Roman"/>
          <w:color w:val="232323"/>
        </w:rPr>
        <w:t>Motyl</w:t>
      </w:r>
      <w:proofErr w:type="spellEnd"/>
      <w:r w:rsidRPr="00AB383B">
        <w:rPr>
          <w:rFonts w:ascii="Times New Roman" w:hAnsi="Times New Roman" w:cs="Times New Roman"/>
          <w:color w:val="232323"/>
        </w:rPr>
        <w:t>. Elsevier Science &amp; Technology, 2000.</w:t>
      </w:r>
    </w:p>
  </w:footnote>
  <w:footnote w:id="66">
    <w:p w14:paraId="19301A20" w14:textId="77777777" w:rsidR="00BC3EC4" w:rsidRPr="00AB383B" w:rsidRDefault="00BC3EC4" w:rsidP="00961436">
      <w:pPr>
        <w:pStyle w:val="FootnoteText"/>
        <w:rPr>
          <w:rFonts w:ascii="Times New Roman" w:hAnsi="Times New Roman" w:cs="Times New Roman"/>
        </w:rPr>
      </w:pPr>
      <w:r w:rsidRPr="00AB383B">
        <w:rPr>
          <w:rStyle w:val="FootnoteReference"/>
          <w:rFonts w:ascii="Times New Roman" w:hAnsi="Times New Roman" w:cs="Times New Roman"/>
        </w:rPr>
        <w:footnoteRef/>
      </w:r>
      <w:r w:rsidRPr="00AB383B">
        <w:rPr>
          <w:rFonts w:ascii="Times New Roman" w:hAnsi="Times New Roman" w:cs="Times New Roman"/>
        </w:rPr>
        <w:t xml:space="preserve"> Leo de </w:t>
      </w:r>
      <w:proofErr w:type="spellStart"/>
      <w:r w:rsidRPr="00AB383B">
        <w:rPr>
          <w:rFonts w:ascii="Times New Roman" w:hAnsi="Times New Roman" w:cs="Times New Roman"/>
        </w:rPr>
        <w:t>Foere</w:t>
      </w:r>
      <w:proofErr w:type="spellEnd"/>
      <w:r w:rsidRPr="00AB383B">
        <w:rPr>
          <w:rFonts w:ascii="Times New Roman" w:hAnsi="Times New Roman" w:cs="Times New Roman"/>
        </w:rPr>
        <w:t xml:space="preserve">, “Brief Remarks on the Question: Can the Use of the French Language be considered Advantageous in the Netherlands, both in Legislative Matters and with regards to Morality and Religion?” in </w:t>
      </w:r>
      <w:r w:rsidRPr="00AB383B">
        <w:rPr>
          <w:rFonts w:ascii="Times New Roman" w:hAnsi="Times New Roman" w:cs="Times New Roman"/>
          <w:i/>
        </w:rPr>
        <w:t>The Flemish Movement: A Documentary History</w:t>
      </w:r>
      <w:r w:rsidRPr="00AB383B">
        <w:rPr>
          <w:rFonts w:ascii="Times New Roman" w:hAnsi="Times New Roman" w:cs="Times New Roman"/>
        </w:rPr>
        <w:t xml:space="preserve"> ed. Theo </w:t>
      </w:r>
      <w:proofErr w:type="spellStart"/>
      <w:r w:rsidRPr="00AB383B">
        <w:rPr>
          <w:rFonts w:ascii="Times New Roman" w:hAnsi="Times New Roman" w:cs="Times New Roman"/>
        </w:rPr>
        <w:t>Hermans</w:t>
      </w:r>
      <w:proofErr w:type="spellEnd"/>
      <w:r w:rsidRPr="00AB383B">
        <w:rPr>
          <w:rFonts w:ascii="Times New Roman" w:hAnsi="Times New Roman" w:cs="Times New Roman"/>
        </w:rPr>
        <w:t xml:space="preserve">, co ed. Louis </w:t>
      </w:r>
      <w:proofErr w:type="spellStart"/>
      <w:r w:rsidRPr="00AB383B">
        <w:rPr>
          <w:rFonts w:ascii="Times New Roman" w:hAnsi="Times New Roman" w:cs="Times New Roman"/>
        </w:rPr>
        <w:t>Vos</w:t>
      </w:r>
      <w:proofErr w:type="spellEnd"/>
      <w:r w:rsidRPr="00AB383B">
        <w:rPr>
          <w:rFonts w:ascii="Times New Roman" w:hAnsi="Times New Roman" w:cs="Times New Roman"/>
        </w:rPr>
        <w:t xml:space="preserve"> and Lode </w:t>
      </w:r>
      <w:proofErr w:type="spellStart"/>
      <w:r w:rsidRPr="00AB383B">
        <w:rPr>
          <w:rFonts w:ascii="Times New Roman" w:hAnsi="Times New Roman" w:cs="Times New Roman"/>
        </w:rPr>
        <w:t>Wils</w:t>
      </w:r>
      <w:proofErr w:type="spellEnd"/>
      <w:r w:rsidRPr="00AB383B">
        <w:rPr>
          <w:rFonts w:ascii="Times New Roman" w:hAnsi="Times New Roman" w:cs="Times New Roman"/>
        </w:rPr>
        <w:t xml:space="preserve"> (London: The </w:t>
      </w:r>
      <w:proofErr w:type="spellStart"/>
      <w:r w:rsidRPr="00AB383B">
        <w:rPr>
          <w:rFonts w:ascii="Times New Roman" w:hAnsi="Times New Roman" w:cs="Times New Roman"/>
        </w:rPr>
        <w:t>Athlone</w:t>
      </w:r>
      <w:proofErr w:type="spellEnd"/>
      <w:r w:rsidRPr="00AB383B">
        <w:rPr>
          <w:rFonts w:ascii="Times New Roman" w:hAnsi="Times New Roman" w:cs="Times New Roman"/>
        </w:rPr>
        <w:t xml:space="preserve"> Press, 1992), 56-57.</w:t>
      </w:r>
    </w:p>
  </w:footnote>
  <w:footnote w:id="67">
    <w:p w14:paraId="6566EFD3" w14:textId="77777777" w:rsidR="00BC3EC4" w:rsidRPr="00AB383B" w:rsidRDefault="00BC3EC4" w:rsidP="00961436">
      <w:pPr>
        <w:pStyle w:val="FootnoteText"/>
        <w:rPr>
          <w:rFonts w:ascii="Times New Roman" w:hAnsi="Times New Roman" w:cs="Times New Roman"/>
        </w:rPr>
      </w:pPr>
      <w:r w:rsidRPr="00AB383B">
        <w:rPr>
          <w:rStyle w:val="FootnoteReference"/>
          <w:rFonts w:ascii="Times New Roman" w:hAnsi="Times New Roman" w:cs="Times New Roman"/>
        </w:rPr>
        <w:footnoteRef/>
      </w:r>
      <w:r w:rsidRPr="00AB383B">
        <w:rPr>
          <w:rFonts w:ascii="Times New Roman" w:hAnsi="Times New Roman" w:cs="Times New Roman"/>
        </w:rPr>
        <w:t xml:space="preserve"> “</w:t>
      </w:r>
      <w:r w:rsidRPr="00AB383B">
        <w:rPr>
          <w:rFonts w:ascii="Times New Roman" w:hAnsi="Times New Roman" w:cs="Times New Roman"/>
          <w:color w:val="000000"/>
        </w:rPr>
        <w:t xml:space="preserve">Provisional Government of Belgium Decree of 16 November 1830” </w:t>
      </w:r>
      <w:r w:rsidRPr="00AB383B">
        <w:rPr>
          <w:rFonts w:ascii="Times New Roman" w:hAnsi="Times New Roman" w:cs="Times New Roman"/>
          <w:i/>
        </w:rPr>
        <w:t>The Flemish Movement: A Documentary History</w:t>
      </w:r>
      <w:r w:rsidRPr="00AB383B">
        <w:rPr>
          <w:rFonts w:ascii="Times New Roman" w:hAnsi="Times New Roman" w:cs="Times New Roman"/>
        </w:rPr>
        <w:t xml:space="preserve"> ed. Theo </w:t>
      </w:r>
      <w:proofErr w:type="spellStart"/>
      <w:r w:rsidRPr="00AB383B">
        <w:rPr>
          <w:rFonts w:ascii="Times New Roman" w:hAnsi="Times New Roman" w:cs="Times New Roman"/>
        </w:rPr>
        <w:t>Hermans</w:t>
      </w:r>
      <w:proofErr w:type="spellEnd"/>
      <w:r w:rsidRPr="00AB383B">
        <w:rPr>
          <w:rFonts w:ascii="Times New Roman" w:hAnsi="Times New Roman" w:cs="Times New Roman"/>
        </w:rPr>
        <w:t xml:space="preserve">, co ed. Louis </w:t>
      </w:r>
      <w:proofErr w:type="spellStart"/>
      <w:r w:rsidRPr="00AB383B">
        <w:rPr>
          <w:rFonts w:ascii="Times New Roman" w:hAnsi="Times New Roman" w:cs="Times New Roman"/>
        </w:rPr>
        <w:t>Vos</w:t>
      </w:r>
      <w:proofErr w:type="spellEnd"/>
      <w:r w:rsidRPr="00AB383B">
        <w:rPr>
          <w:rFonts w:ascii="Times New Roman" w:hAnsi="Times New Roman" w:cs="Times New Roman"/>
        </w:rPr>
        <w:t xml:space="preserve"> and Lode </w:t>
      </w:r>
      <w:proofErr w:type="spellStart"/>
      <w:r w:rsidRPr="00AB383B">
        <w:rPr>
          <w:rFonts w:ascii="Times New Roman" w:hAnsi="Times New Roman" w:cs="Times New Roman"/>
        </w:rPr>
        <w:t>Wils</w:t>
      </w:r>
      <w:proofErr w:type="spellEnd"/>
      <w:r w:rsidRPr="00AB383B">
        <w:rPr>
          <w:rFonts w:ascii="Times New Roman" w:hAnsi="Times New Roman" w:cs="Times New Roman"/>
        </w:rPr>
        <w:t xml:space="preserve"> (London: The </w:t>
      </w:r>
      <w:proofErr w:type="spellStart"/>
      <w:r w:rsidRPr="00AB383B">
        <w:rPr>
          <w:rFonts w:ascii="Times New Roman" w:hAnsi="Times New Roman" w:cs="Times New Roman"/>
        </w:rPr>
        <w:t>Athlone</w:t>
      </w:r>
      <w:proofErr w:type="spellEnd"/>
      <w:r w:rsidRPr="00AB383B">
        <w:rPr>
          <w:rFonts w:ascii="Times New Roman" w:hAnsi="Times New Roman" w:cs="Times New Roman"/>
        </w:rPr>
        <w:t xml:space="preserve"> Press, 1992), </w:t>
      </w:r>
      <w:r w:rsidRPr="00AB383B">
        <w:rPr>
          <w:rFonts w:ascii="Times New Roman" w:hAnsi="Times New Roman" w:cs="Times New Roman"/>
          <w:color w:val="000000"/>
        </w:rPr>
        <w:t>71.</w:t>
      </w:r>
    </w:p>
  </w:footnote>
  <w:footnote w:id="68">
    <w:p w14:paraId="390B6651" w14:textId="77777777" w:rsidR="00BC3EC4" w:rsidRPr="00AB383B" w:rsidRDefault="00BC3EC4" w:rsidP="00961436">
      <w:pPr>
        <w:pStyle w:val="FootnoteText"/>
        <w:rPr>
          <w:rFonts w:ascii="Times New Roman" w:hAnsi="Times New Roman" w:cs="Times New Roman"/>
        </w:rPr>
      </w:pPr>
      <w:r w:rsidRPr="00AB383B">
        <w:rPr>
          <w:rStyle w:val="FootnoteReference"/>
          <w:rFonts w:ascii="Times New Roman" w:hAnsi="Times New Roman" w:cs="Times New Roman"/>
        </w:rPr>
        <w:footnoteRef/>
      </w:r>
      <w:r w:rsidRPr="00AB383B">
        <w:rPr>
          <w:rFonts w:ascii="Times New Roman" w:hAnsi="Times New Roman" w:cs="Times New Roman"/>
        </w:rPr>
        <w:t xml:space="preserve"> </w:t>
      </w:r>
      <w:r w:rsidRPr="00AB383B">
        <w:rPr>
          <w:rFonts w:ascii="Times New Roman" w:hAnsi="Times New Roman" w:cs="Times New Roman"/>
          <w:color w:val="000000"/>
        </w:rPr>
        <w:t>Ibid.</w:t>
      </w:r>
    </w:p>
  </w:footnote>
  <w:footnote w:id="69">
    <w:p w14:paraId="05610427" w14:textId="77777777" w:rsidR="00BC3EC4" w:rsidRPr="00AB383B" w:rsidRDefault="00BC3EC4" w:rsidP="00961436">
      <w:pPr>
        <w:rPr>
          <w:rFonts w:eastAsia="Times New Roman"/>
        </w:rPr>
      </w:pPr>
      <w:r w:rsidRPr="00AB383B">
        <w:rPr>
          <w:rStyle w:val="FootnoteReference"/>
          <w:color w:val="000000" w:themeColor="text1"/>
        </w:rPr>
        <w:footnoteRef/>
      </w:r>
      <w:r w:rsidRPr="00AB383B">
        <w:rPr>
          <w:color w:val="000000" w:themeColor="text1"/>
        </w:rPr>
        <w:t xml:space="preserve"> Belgian Government </w:t>
      </w:r>
      <w:r w:rsidRPr="00AB383B">
        <w:rPr>
          <w:rFonts w:eastAsia="Times New Roman"/>
          <w:color w:val="000000" w:themeColor="text1"/>
          <w:shd w:val="clear" w:color="auto" w:fill="FFFFFF"/>
        </w:rPr>
        <w:t>Ministry of Foreign Affairs, External Trade and Cooperation in Development</w:t>
      </w:r>
      <w:r w:rsidRPr="00AB383B">
        <w:rPr>
          <w:color w:val="000000" w:themeColor="text1"/>
        </w:rPr>
        <w:t xml:space="preserve">, </w:t>
      </w:r>
      <w:r w:rsidRPr="00AB383B">
        <w:rPr>
          <w:i/>
          <w:color w:val="000000" w:themeColor="text1"/>
        </w:rPr>
        <w:t>History of Belgium</w:t>
      </w:r>
      <w:r w:rsidRPr="00AB383B">
        <w:rPr>
          <w:color w:val="000000" w:themeColor="text1"/>
        </w:rPr>
        <w:t xml:space="preserve"> (Brussels: </w:t>
      </w:r>
      <w:r w:rsidRPr="00AB383B">
        <w:rPr>
          <w:rFonts w:eastAsia="Times New Roman"/>
          <w:color w:val="000000" w:themeColor="text1"/>
          <w:shd w:val="clear" w:color="auto" w:fill="FFFFFF"/>
        </w:rPr>
        <w:t>Ministry of Foreign Affairs, External Trade and Cooperation in Development</w:t>
      </w:r>
      <w:r w:rsidRPr="00AB383B">
        <w:rPr>
          <w:rFonts w:eastAsia="Times New Roman"/>
          <w:color w:val="000000" w:themeColor="text1"/>
        </w:rPr>
        <w:t xml:space="preserve">, 1978), </w:t>
      </w:r>
      <w:r w:rsidRPr="00AB383B">
        <w:rPr>
          <w:color w:val="000000" w:themeColor="text1"/>
        </w:rPr>
        <w:t>366.</w:t>
      </w:r>
    </w:p>
  </w:footnote>
  <w:footnote w:id="70">
    <w:p w14:paraId="75E8EDA8" w14:textId="77777777" w:rsidR="00BC3EC4" w:rsidRPr="00AB383B" w:rsidRDefault="00BC3EC4" w:rsidP="00961436">
      <w:pPr>
        <w:pStyle w:val="FootnoteText"/>
        <w:rPr>
          <w:rFonts w:ascii="Times New Roman" w:hAnsi="Times New Roman" w:cs="Times New Roman"/>
        </w:rPr>
      </w:pPr>
      <w:r w:rsidRPr="00AB383B">
        <w:rPr>
          <w:rStyle w:val="FootnoteReference"/>
          <w:rFonts w:ascii="Times New Roman" w:hAnsi="Times New Roman" w:cs="Times New Roman"/>
        </w:rPr>
        <w:footnoteRef/>
      </w:r>
      <w:r w:rsidRPr="00AB383B">
        <w:rPr>
          <w:rFonts w:ascii="Times New Roman" w:hAnsi="Times New Roman" w:cs="Times New Roman"/>
        </w:rPr>
        <w:t xml:space="preserve"> </w:t>
      </w:r>
      <w:r w:rsidRPr="00AB383B">
        <w:rPr>
          <w:rFonts w:ascii="Times New Roman" w:hAnsi="Times New Roman" w:cs="Times New Roman"/>
          <w:color w:val="232323"/>
        </w:rPr>
        <w:t>"Belgian Nationalism." In </w:t>
      </w:r>
      <w:r w:rsidRPr="00AB383B">
        <w:rPr>
          <w:rFonts w:ascii="Times New Roman" w:hAnsi="Times New Roman" w:cs="Times New Roman"/>
          <w:i/>
          <w:iCs/>
          <w:color w:val="232323"/>
        </w:rPr>
        <w:t>Encyclopedia of Nationalism: Leaders, Movements, and Concepts</w:t>
      </w:r>
      <w:r w:rsidRPr="00AB383B">
        <w:rPr>
          <w:rFonts w:ascii="Times New Roman" w:hAnsi="Times New Roman" w:cs="Times New Roman"/>
          <w:color w:val="232323"/>
        </w:rPr>
        <w:t xml:space="preserve">, edited by Alexander J. </w:t>
      </w:r>
      <w:proofErr w:type="spellStart"/>
      <w:r w:rsidRPr="00AB383B">
        <w:rPr>
          <w:rFonts w:ascii="Times New Roman" w:hAnsi="Times New Roman" w:cs="Times New Roman"/>
          <w:color w:val="232323"/>
        </w:rPr>
        <w:t>Motyl</w:t>
      </w:r>
      <w:proofErr w:type="spellEnd"/>
      <w:r w:rsidRPr="00AB383B">
        <w:rPr>
          <w:rFonts w:ascii="Times New Roman" w:hAnsi="Times New Roman" w:cs="Times New Roman"/>
          <w:color w:val="232323"/>
        </w:rPr>
        <w:t>. Elsevier Science &amp; Technology, 2000. </w:t>
      </w:r>
    </w:p>
  </w:footnote>
  <w:footnote w:id="71">
    <w:p w14:paraId="03F24DA8" w14:textId="77777777" w:rsidR="00BC3EC4" w:rsidRPr="00AB383B" w:rsidRDefault="00BC3EC4" w:rsidP="00961436">
      <w:pPr>
        <w:pStyle w:val="FootnoteText"/>
        <w:rPr>
          <w:rFonts w:ascii="Times New Roman" w:hAnsi="Times New Roman" w:cs="Times New Roman"/>
        </w:rPr>
      </w:pPr>
      <w:r w:rsidRPr="00AB383B">
        <w:rPr>
          <w:rStyle w:val="FootnoteReference"/>
          <w:rFonts w:ascii="Times New Roman" w:hAnsi="Times New Roman" w:cs="Times New Roman"/>
        </w:rPr>
        <w:footnoteRef/>
      </w:r>
      <w:r w:rsidRPr="00AB383B">
        <w:rPr>
          <w:rFonts w:ascii="Times New Roman" w:hAnsi="Times New Roman" w:cs="Times New Roman"/>
        </w:rPr>
        <w:t xml:space="preserve"> Jan </w:t>
      </w:r>
      <w:proofErr w:type="spellStart"/>
      <w:r w:rsidRPr="00AB383B">
        <w:rPr>
          <w:rFonts w:ascii="Times New Roman" w:hAnsi="Times New Roman" w:cs="Times New Roman"/>
        </w:rPr>
        <w:t>Frans</w:t>
      </w:r>
      <w:proofErr w:type="spellEnd"/>
      <w:r w:rsidRPr="00AB383B">
        <w:rPr>
          <w:rFonts w:ascii="Times New Roman" w:hAnsi="Times New Roman" w:cs="Times New Roman"/>
        </w:rPr>
        <w:t xml:space="preserve"> Willems “Speech delivered at the Flemish Festival” in </w:t>
      </w:r>
      <w:r w:rsidRPr="00AB383B">
        <w:rPr>
          <w:rFonts w:ascii="Times New Roman" w:hAnsi="Times New Roman" w:cs="Times New Roman"/>
          <w:i/>
        </w:rPr>
        <w:t>The Flemish Movement: A Documentary History</w:t>
      </w:r>
      <w:r w:rsidRPr="00AB383B">
        <w:rPr>
          <w:rFonts w:ascii="Times New Roman" w:hAnsi="Times New Roman" w:cs="Times New Roman"/>
        </w:rPr>
        <w:t xml:space="preserve"> ed. Theo </w:t>
      </w:r>
      <w:proofErr w:type="spellStart"/>
      <w:r w:rsidRPr="00AB383B">
        <w:rPr>
          <w:rFonts w:ascii="Times New Roman" w:hAnsi="Times New Roman" w:cs="Times New Roman"/>
        </w:rPr>
        <w:t>Hermans</w:t>
      </w:r>
      <w:proofErr w:type="spellEnd"/>
      <w:r w:rsidRPr="00AB383B">
        <w:rPr>
          <w:rFonts w:ascii="Times New Roman" w:hAnsi="Times New Roman" w:cs="Times New Roman"/>
        </w:rPr>
        <w:t xml:space="preserve">, co ed. Louis </w:t>
      </w:r>
      <w:proofErr w:type="spellStart"/>
      <w:r w:rsidRPr="00AB383B">
        <w:rPr>
          <w:rFonts w:ascii="Times New Roman" w:hAnsi="Times New Roman" w:cs="Times New Roman"/>
        </w:rPr>
        <w:t>Vos</w:t>
      </w:r>
      <w:proofErr w:type="spellEnd"/>
      <w:r w:rsidRPr="00AB383B">
        <w:rPr>
          <w:rFonts w:ascii="Times New Roman" w:hAnsi="Times New Roman" w:cs="Times New Roman"/>
        </w:rPr>
        <w:t xml:space="preserve"> and Lode </w:t>
      </w:r>
      <w:proofErr w:type="spellStart"/>
      <w:r w:rsidRPr="00AB383B">
        <w:rPr>
          <w:rFonts w:ascii="Times New Roman" w:hAnsi="Times New Roman" w:cs="Times New Roman"/>
        </w:rPr>
        <w:t>Wils</w:t>
      </w:r>
      <w:proofErr w:type="spellEnd"/>
      <w:r w:rsidRPr="00AB383B">
        <w:rPr>
          <w:rFonts w:ascii="Times New Roman" w:hAnsi="Times New Roman" w:cs="Times New Roman"/>
        </w:rPr>
        <w:t xml:space="preserve"> (London: The </w:t>
      </w:r>
      <w:proofErr w:type="spellStart"/>
      <w:r w:rsidRPr="00AB383B">
        <w:rPr>
          <w:rFonts w:ascii="Times New Roman" w:hAnsi="Times New Roman" w:cs="Times New Roman"/>
        </w:rPr>
        <w:t>Athlone</w:t>
      </w:r>
      <w:proofErr w:type="spellEnd"/>
      <w:r w:rsidRPr="00AB383B">
        <w:rPr>
          <w:rFonts w:ascii="Times New Roman" w:hAnsi="Times New Roman" w:cs="Times New Roman"/>
        </w:rPr>
        <w:t xml:space="preserve"> Press, 1992), 99.</w:t>
      </w:r>
    </w:p>
  </w:footnote>
  <w:footnote w:id="72">
    <w:p w14:paraId="0199D0D2" w14:textId="77777777" w:rsidR="00BC3EC4" w:rsidRPr="00AB383B" w:rsidRDefault="00BC3EC4" w:rsidP="00961436">
      <w:pPr>
        <w:pStyle w:val="FootnoteText"/>
        <w:rPr>
          <w:rFonts w:ascii="Times New Roman" w:hAnsi="Times New Roman" w:cs="Times New Roman"/>
        </w:rPr>
      </w:pPr>
      <w:r w:rsidRPr="00AB383B">
        <w:rPr>
          <w:rStyle w:val="FootnoteReference"/>
          <w:rFonts w:ascii="Times New Roman" w:hAnsi="Times New Roman" w:cs="Times New Roman"/>
        </w:rPr>
        <w:footnoteRef/>
      </w:r>
      <w:r w:rsidRPr="00AB383B">
        <w:rPr>
          <w:rFonts w:ascii="Times New Roman" w:hAnsi="Times New Roman" w:cs="Times New Roman"/>
        </w:rPr>
        <w:t xml:space="preserve"> Jan Baptist David, “Address to the Society ‘Time and Devotion’” in </w:t>
      </w:r>
      <w:r w:rsidRPr="00AB383B">
        <w:rPr>
          <w:rFonts w:ascii="Times New Roman" w:hAnsi="Times New Roman" w:cs="Times New Roman"/>
          <w:i/>
        </w:rPr>
        <w:t>The Flemish Movement: A Documentary History</w:t>
      </w:r>
      <w:r w:rsidRPr="00AB383B">
        <w:rPr>
          <w:rFonts w:ascii="Times New Roman" w:hAnsi="Times New Roman" w:cs="Times New Roman"/>
        </w:rPr>
        <w:t xml:space="preserve"> ed. Theo </w:t>
      </w:r>
      <w:proofErr w:type="spellStart"/>
      <w:r w:rsidRPr="00AB383B">
        <w:rPr>
          <w:rFonts w:ascii="Times New Roman" w:hAnsi="Times New Roman" w:cs="Times New Roman"/>
        </w:rPr>
        <w:t>Hermans</w:t>
      </w:r>
      <w:proofErr w:type="spellEnd"/>
      <w:r w:rsidRPr="00AB383B">
        <w:rPr>
          <w:rFonts w:ascii="Times New Roman" w:hAnsi="Times New Roman" w:cs="Times New Roman"/>
        </w:rPr>
        <w:t xml:space="preserve">, co ed. Louis </w:t>
      </w:r>
      <w:proofErr w:type="spellStart"/>
      <w:r w:rsidRPr="00AB383B">
        <w:rPr>
          <w:rFonts w:ascii="Times New Roman" w:hAnsi="Times New Roman" w:cs="Times New Roman"/>
        </w:rPr>
        <w:t>Vos</w:t>
      </w:r>
      <w:proofErr w:type="spellEnd"/>
      <w:r w:rsidRPr="00AB383B">
        <w:rPr>
          <w:rFonts w:ascii="Times New Roman" w:hAnsi="Times New Roman" w:cs="Times New Roman"/>
        </w:rPr>
        <w:t xml:space="preserve"> and Lode </w:t>
      </w:r>
      <w:proofErr w:type="spellStart"/>
      <w:r w:rsidRPr="00AB383B">
        <w:rPr>
          <w:rFonts w:ascii="Times New Roman" w:hAnsi="Times New Roman" w:cs="Times New Roman"/>
        </w:rPr>
        <w:t>Wils</w:t>
      </w:r>
      <w:proofErr w:type="spellEnd"/>
      <w:r w:rsidRPr="00AB383B">
        <w:rPr>
          <w:rFonts w:ascii="Times New Roman" w:hAnsi="Times New Roman" w:cs="Times New Roman"/>
        </w:rPr>
        <w:t xml:space="preserve"> (London: The </w:t>
      </w:r>
      <w:proofErr w:type="spellStart"/>
      <w:r w:rsidRPr="00AB383B">
        <w:rPr>
          <w:rFonts w:ascii="Times New Roman" w:hAnsi="Times New Roman" w:cs="Times New Roman"/>
        </w:rPr>
        <w:t>Athlone</w:t>
      </w:r>
      <w:proofErr w:type="spellEnd"/>
      <w:r w:rsidRPr="00AB383B">
        <w:rPr>
          <w:rFonts w:ascii="Times New Roman" w:hAnsi="Times New Roman" w:cs="Times New Roman"/>
        </w:rPr>
        <w:t xml:space="preserve"> Press, 1992), 97.</w:t>
      </w:r>
    </w:p>
  </w:footnote>
  <w:footnote w:id="73">
    <w:p w14:paraId="04ECB0E7" w14:textId="77777777" w:rsidR="00BC3EC4" w:rsidRPr="00AB383B" w:rsidRDefault="00BC3EC4" w:rsidP="00961436">
      <w:pPr>
        <w:pStyle w:val="FootnoteText"/>
        <w:rPr>
          <w:rFonts w:ascii="Times New Roman" w:hAnsi="Times New Roman" w:cs="Times New Roman"/>
        </w:rPr>
      </w:pPr>
      <w:r w:rsidRPr="00AB383B">
        <w:rPr>
          <w:rStyle w:val="FootnoteReference"/>
          <w:rFonts w:ascii="Times New Roman" w:hAnsi="Times New Roman" w:cs="Times New Roman"/>
        </w:rPr>
        <w:footnoteRef/>
      </w:r>
      <w:r w:rsidRPr="00AB383B">
        <w:rPr>
          <w:rFonts w:ascii="Times New Roman" w:hAnsi="Times New Roman" w:cs="Times New Roman"/>
        </w:rPr>
        <w:t xml:space="preserve"> Hendrik Conscience and F.A. </w:t>
      </w:r>
      <w:proofErr w:type="spellStart"/>
      <w:r w:rsidRPr="00AB383B">
        <w:rPr>
          <w:rFonts w:ascii="Times New Roman" w:hAnsi="Times New Roman" w:cs="Times New Roman"/>
        </w:rPr>
        <w:t>Snellaert</w:t>
      </w:r>
      <w:proofErr w:type="spellEnd"/>
      <w:r w:rsidRPr="00AB383B">
        <w:rPr>
          <w:rFonts w:ascii="Times New Roman" w:hAnsi="Times New Roman" w:cs="Times New Roman"/>
        </w:rPr>
        <w:t xml:space="preserve">, “Flemish Movement: Declaration of Fundamental Principles Presented by the Defenders of the Netherlandish People’s Rights to their Fellow Countrymen” in </w:t>
      </w:r>
      <w:r w:rsidRPr="00AB383B">
        <w:rPr>
          <w:rFonts w:ascii="Times New Roman" w:hAnsi="Times New Roman" w:cs="Times New Roman"/>
          <w:i/>
        </w:rPr>
        <w:t>The Flemish Movement: A Documentary History</w:t>
      </w:r>
      <w:r w:rsidRPr="00AB383B">
        <w:rPr>
          <w:rFonts w:ascii="Times New Roman" w:hAnsi="Times New Roman" w:cs="Times New Roman"/>
        </w:rPr>
        <w:t xml:space="preserve"> ed. Theo </w:t>
      </w:r>
      <w:proofErr w:type="spellStart"/>
      <w:r w:rsidRPr="00AB383B">
        <w:rPr>
          <w:rFonts w:ascii="Times New Roman" w:hAnsi="Times New Roman" w:cs="Times New Roman"/>
        </w:rPr>
        <w:t>Hermans</w:t>
      </w:r>
      <w:proofErr w:type="spellEnd"/>
      <w:r w:rsidRPr="00AB383B">
        <w:rPr>
          <w:rFonts w:ascii="Times New Roman" w:hAnsi="Times New Roman" w:cs="Times New Roman"/>
        </w:rPr>
        <w:t xml:space="preserve">, co ed. Louis </w:t>
      </w:r>
      <w:proofErr w:type="spellStart"/>
      <w:r w:rsidRPr="00AB383B">
        <w:rPr>
          <w:rFonts w:ascii="Times New Roman" w:hAnsi="Times New Roman" w:cs="Times New Roman"/>
        </w:rPr>
        <w:t>Vos</w:t>
      </w:r>
      <w:proofErr w:type="spellEnd"/>
      <w:r w:rsidRPr="00AB383B">
        <w:rPr>
          <w:rFonts w:ascii="Times New Roman" w:hAnsi="Times New Roman" w:cs="Times New Roman"/>
        </w:rPr>
        <w:t xml:space="preserve"> and Lode </w:t>
      </w:r>
      <w:proofErr w:type="spellStart"/>
      <w:r w:rsidRPr="00AB383B">
        <w:rPr>
          <w:rFonts w:ascii="Times New Roman" w:hAnsi="Times New Roman" w:cs="Times New Roman"/>
        </w:rPr>
        <w:t>Wils</w:t>
      </w:r>
      <w:proofErr w:type="spellEnd"/>
      <w:r w:rsidRPr="00AB383B">
        <w:rPr>
          <w:rFonts w:ascii="Times New Roman" w:hAnsi="Times New Roman" w:cs="Times New Roman"/>
        </w:rPr>
        <w:t xml:space="preserve"> (London: The </w:t>
      </w:r>
      <w:proofErr w:type="spellStart"/>
      <w:r w:rsidRPr="00AB383B">
        <w:rPr>
          <w:rFonts w:ascii="Times New Roman" w:hAnsi="Times New Roman" w:cs="Times New Roman"/>
        </w:rPr>
        <w:t>Athlone</w:t>
      </w:r>
      <w:proofErr w:type="spellEnd"/>
      <w:r w:rsidRPr="00AB383B">
        <w:rPr>
          <w:rFonts w:ascii="Times New Roman" w:hAnsi="Times New Roman" w:cs="Times New Roman"/>
        </w:rPr>
        <w:t xml:space="preserve"> Press, 1992), 106.</w:t>
      </w:r>
    </w:p>
  </w:footnote>
  <w:footnote w:id="74">
    <w:p w14:paraId="074B52A2" w14:textId="77777777" w:rsidR="00BC3EC4" w:rsidRPr="00AB383B" w:rsidRDefault="00BC3EC4" w:rsidP="00961436">
      <w:pPr>
        <w:pStyle w:val="FootnoteText"/>
        <w:rPr>
          <w:rFonts w:ascii="Times New Roman" w:hAnsi="Times New Roman" w:cs="Times New Roman"/>
        </w:rPr>
      </w:pPr>
      <w:r w:rsidRPr="00AB383B">
        <w:rPr>
          <w:rStyle w:val="FootnoteReference"/>
          <w:rFonts w:ascii="Times New Roman" w:hAnsi="Times New Roman" w:cs="Times New Roman"/>
        </w:rPr>
        <w:footnoteRef/>
      </w:r>
      <w:r w:rsidRPr="00AB383B">
        <w:rPr>
          <w:rFonts w:ascii="Times New Roman" w:hAnsi="Times New Roman" w:cs="Times New Roman"/>
        </w:rPr>
        <w:t xml:space="preserve"> Jan Baptist Van </w:t>
      </w:r>
      <w:proofErr w:type="spellStart"/>
      <w:r w:rsidRPr="00AB383B">
        <w:rPr>
          <w:rFonts w:ascii="Times New Roman" w:hAnsi="Times New Roman" w:cs="Times New Roman"/>
        </w:rPr>
        <w:t>Ryswuck</w:t>
      </w:r>
      <w:proofErr w:type="spellEnd"/>
      <w:r w:rsidRPr="00AB383B">
        <w:rPr>
          <w:rFonts w:ascii="Times New Roman" w:hAnsi="Times New Roman" w:cs="Times New Roman"/>
        </w:rPr>
        <w:t xml:space="preserve">, “Public Statement by the Netherlandish Association for the Arts, </w:t>
      </w:r>
      <w:proofErr w:type="gramStart"/>
      <w:r w:rsidRPr="00AB383B">
        <w:rPr>
          <w:rFonts w:ascii="Times New Roman" w:hAnsi="Times New Roman" w:cs="Times New Roman"/>
        </w:rPr>
        <w:t>on the Occasion of</w:t>
      </w:r>
      <w:proofErr w:type="gramEnd"/>
      <w:r w:rsidRPr="00AB383B">
        <w:rPr>
          <w:rFonts w:ascii="Times New Roman" w:hAnsi="Times New Roman" w:cs="Times New Roman"/>
        </w:rPr>
        <w:t xml:space="preserve"> the 25</w:t>
      </w:r>
      <w:r w:rsidRPr="00AB383B">
        <w:rPr>
          <w:rFonts w:ascii="Times New Roman" w:hAnsi="Times New Roman" w:cs="Times New Roman"/>
          <w:vertAlign w:val="superscript"/>
        </w:rPr>
        <w:t>th</w:t>
      </w:r>
      <w:r w:rsidRPr="00AB383B">
        <w:rPr>
          <w:rFonts w:ascii="Times New Roman" w:hAnsi="Times New Roman" w:cs="Times New Roman"/>
        </w:rPr>
        <w:t xml:space="preserve"> Anniversary of the Sovereign’s Accession” in </w:t>
      </w:r>
      <w:r w:rsidRPr="00AB383B">
        <w:rPr>
          <w:rFonts w:ascii="Times New Roman" w:hAnsi="Times New Roman" w:cs="Times New Roman"/>
          <w:i/>
        </w:rPr>
        <w:t>The Flemish Movement: A Documentary History</w:t>
      </w:r>
      <w:r w:rsidRPr="00AB383B">
        <w:rPr>
          <w:rFonts w:ascii="Times New Roman" w:hAnsi="Times New Roman" w:cs="Times New Roman"/>
        </w:rPr>
        <w:t xml:space="preserve"> ed. Theo </w:t>
      </w:r>
      <w:proofErr w:type="spellStart"/>
      <w:r w:rsidRPr="00AB383B">
        <w:rPr>
          <w:rFonts w:ascii="Times New Roman" w:hAnsi="Times New Roman" w:cs="Times New Roman"/>
        </w:rPr>
        <w:t>Hermans</w:t>
      </w:r>
      <w:proofErr w:type="spellEnd"/>
      <w:r w:rsidRPr="00AB383B">
        <w:rPr>
          <w:rFonts w:ascii="Times New Roman" w:hAnsi="Times New Roman" w:cs="Times New Roman"/>
        </w:rPr>
        <w:t xml:space="preserve">, co ed. Louis </w:t>
      </w:r>
      <w:proofErr w:type="spellStart"/>
      <w:r w:rsidRPr="00AB383B">
        <w:rPr>
          <w:rFonts w:ascii="Times New Roman" w:hAnsi="Times New Roman" w:cs="Times New Roman"/>
        </w:rPr>
        <w:t>Vos</w:t>
      </w:r>
      <w:proofErr w:type="spellEnd"/>
      <w:r w:rsidRPr="00AB383B">
        <w:rPr>
          <w:rFonts w:ascii="Times New Roman" w:hAnsi="Times New Roman" w:cs="Times New Roman"/>
        </w:rPr>
        <w:t xml:space="preserve"> and Lode </w:t>
      </w:r>
      <w:proofErr w:type="spellStart"/>
      <w:r w:rsidRPr="00AB383B">
        <w:rPr>
          <w:rFonts w:ascii="Times New Roman" w:hAnsi="Times New Roman" w:cs="Times New Roman"/>
        </w:rPr>
        <w:t>Wils</w:t>
      </w:r>
      <w:proofErr w:type="spellEnd"/>
      <w:r w:rsidRPr="00AB383B">
        <w:rPr>
          <w:rFonts w:ascii="Times New Roman" w:hAnsi="Times New Roman" w:cs="Times New Roman"/>
        </w:rPr>
        <w:t xml:space="preserve"> (London: The </w:t>
      </w:r>
      <w:proofErr w:type="spellStart"/>
      <w:r w:rsidRPr="00AB383B">
        <w:rPr>
          <w:rFonts w:ascii="Times New Roman" w:hAnsi="Times New Roman" w:cs="Times New Roman"/>
        </w:rPr>
        <w:t>Athlone</w:t>
      </w:r>
      <w:proofErr w:type="spellEnd"/>
      <w:r w:rsidRPr="00AB383B">
        <w:rPr>
          <w:rFonts w:ascii="Times New Roman" w:hAnsi="Times New Roman" w:cs="Times New Roman"/>
        </w:rPr>
        <w:t xml:space="preserve"> Press, 1992), 123.</w:t>
      </w:r>
    </w:p>
  </w:footnote>
  <w:footnote w:id="75">
    <w:p w14:paraId="6FADBF1D" w14:textId="77777777" w:rsidR="00BC3EC4" w:rsidRPr="00AB383B" w:rsidRDefault="00BC3EC4" w:rsidP="00961436">
      <w:pPr>
        <w:pStyle w:val="FootnoteText"/>
        <w:rPr>
          <w:rFonts w:ascii="Times New Roman" w:hAnsi="Times New Roman" w:cs="Times New Roman"/>
        </w:rPr>
      </w:pPr>
      <w:r w:rsidRPr="00AB383B">
        <w:rPr>
          <w:rStyle w:val="FootnoteReference"/>
          <w:rFonts w:ascii="Times New Roman" w:hAnsi="Times New Roman" w:cs="Times New Roman"/>
        </w:rPr>
        <w:footnoteRef/>
      </w:r>
      <w:r w:rsidRPr="00AB383B">
        <w:rPr>
          <w:rFonts w:ascii="Times New Roman" w:hAnsi="Times New Roman" w:cs="Times New Roman"/>
        </w:rPr>
        <w:t xml:space="preserve"> </w:t>
      </w:r>
      <w:r w:rsidRPr="00AB383B">
        <w:rPr>
          <w:rFonts w:ascii="Times New Roman" w:hAnsi="Times New Roman" w:cs="Times New Roman"/>
          <w:color w:val="232323"/>
        </w:rPr>
        <w:t>"Belgian Nationalism." In </w:t>
      </w:r>
      <w:r w:rsidRPr="00AB383B">
        <w:rPr>
          <w:rFonts w:ascii="Times New Roman" w:hAnsi="Times New Roman" w:cs="Times New Roman"/>
          <w:i/>
          <w:iCs/>
          <w:color w:val="232323"/>
        </w:rPr>
        <w:t>Encyclopedia of Nationalism: Leaders, Movements, and Concepts</w:t>
      </w:r>
      <w:r w:rsidRPr="00AB383B">
        <w:rPr>
          <w:rFonts w:ascii="Times New Roman" w:hAnsi="Times New Roman" w:cs="Times New Roman"/>
          <w:color w:val="232323"/>
        </w:rPr>
        <w:t xml:space="preserve">, edited by Alexander J. </w:t>
      </w:r>
      <w:proofErr w:type="spellStart"/>
      <w:r w:rsidRPr="00AB383B">
        <w:rPr>
          <w:rFonts w:ascii="Times New Roman" w:hAnsi="Times New Roman" w:cs="Times New Roman"/>
          <w:color w:val="232323"/>
        </w:rPr>
        <w:t>Motyl</w:t>
      </w:r>
      <w:proofErr w:type="spellEnd"/>
      <w:r w:rsidRPr="00AB383B">
        <w:rPr>
          <w:rFonts w:ascii="Times New Roman" w:hAnsi="Times New Roman" w:cs="Times New Roman"/>
          <w:color w:val="232323"/>
        </w:rPr>
        <w:t>. Elsevier Science &amp; Technology, 2000. </w:t>
      </w:r>
    </w:p>
  </w:footnote>
  <w:footnote w:id="76">
    <w:p w14:paraId="7789A72F" w14:textId="77777777" w:rsidR="00BC3EC4" w:rsidRPr="00AB383B" w:rsidRDefault="00BC3EC4" w:rsidP="00961436">
      <w:pPr>
        <w:pStyle w:val="FootnoteText"/>
        <w:rPr>
          <w:rFonts w:ascii="Times New Roman" w:hAnsi="Times New Roman" w:cs="Times New Roman"/>
        </w:rPr>
      </w:pPr>
      <w:r w:rsidRPr="00AB383B">
        <w:rPr>
          <w:rStyle w:val="FootnoteReference"/>
          <w:rFonts w:ascii="Times New Roman" w:hAnsi="Times New Roman" w:cs="Times New Roman"/>
        </w:rPr>
        <w:footnoteRef/>
      </w:r>
      <w:r w:rsidRPr="00AB383B">
        <w:rPr>
          <w:rFonts w:ascii="Times New Roman" w:hAnsi="Times New Roman" w:cs="Times New Roman"/>
        </w:rPr>
        <w:t xml:space="preserve"> Ibid.</w:t>
      </w:r>
    </w:p>
  </w:footnote>
  <w:footnote w:id="77">
    <w:p w14:paraId="76DFBED1" w14:textId="77777777" w:rsidR="00BC3EC4" w:rsidRPr="00AB383B" w:rsidRDefault="00BC3EC4" w:rsidP="00961436">
      <w:pPr>
        <w:pStyle w:val="FootnoteText"/>
        <w:rPr>
          <w:rFonts w:ascii="Times New Roman" w:hAnsi="Times New Roman" w:cs="Times New Roman"/>
        </w:rPr>
      </w:pPr>
      <w:r w:rsidRPr="00AB383B">
        <w:rPr>
          <w:rStyle w:val="FootnoteReference"/>
          <w:rFonts w:ascii="Times New Roman" w:hAnsi="Times New Roman" w:cs="Times New Roman"/>
        </w:rPr>
        <w:footnoteRef/>
      </w:r>
      <w:r w:rsidRPr="00AB383B">
        <w:rPr>
          <w:rFonts w:ascii="Times New Roman" w:hAnsi="Times New Roman" w:cs="Times New Roman"/>
        </w:rPr>
        <w:t xml:space="preserve"> Jules </w:t>
      </w:r>
      <w:proofErr w:type="spellStart"/>
      <w:r w:rsidRPr="00AB383B">
        <w:rPr>
          <w:rFonts w:ascii="Times New Roman" w:hAnsi="Times New Roman" w:cs="Times New Roman"/>
        </w:rPr>
        <w:t>Destrée</w:t>
      </w:r>
      <w:proofErr w:type="spellEnd"/>
      <w:r w:rsidRPr="00AB383B">
        <w:rPr>
          <w:rFonts w:ascii="Times New Roman" w:hAnsi="Times New Roman" w:cs="Times New Roman"/>
        </w:rPr>
        <w:t xml:space="preserve">, “Open Letter to the King, Concerning the Separation of Flanders and Wallonia” in </w:t>
      </w:r>
      <w:r w:rsidRPr="00AB383B">
        <w:rPr>
          <w:rFonts w:ascii="Times New Roman" w:hAnsi="Times New Roman" w:cs="Times New Roman"/>
          <w:i/>
        </w:rPr>
        <w:t>The Flemish Movement: A Documentary History</w:t>
      </w:r>
      <w:r w:rsidRPr="00AB383B">
        <w:rPr>
          <w:rFonts w:ascii="Times New Roman" w:hAnsi="Times New Roman" w:cs="Times New Roman"/>
        </w:rPr>
        <w:t xml:space="preserve"> ed. Theo </w:t>
      </w:r>
      <w:proofErr w:type="spellStart"/>
      <w:r w:rsidRPr="00AB383B">
        <w:rPr>
          <w:rFonts w:ascii="Times New Roman" w:hAnsi="Times New Roman" w:cs="Times New Roman"/>
        </w:rPr>
        <w:t>Hermans</w:t>
      </w:r>
      <w:proofErr w:type="spellEnd"/>
      <w:r w:rsidRPr="00AB383B">
        <w:rPr>
          <w:rFonts w:ascii="Times New Roman" w:hAnsi="Times New Roman" w:cs="Times New Roman"/>
        </w:rPr>
        <w:t xml:space="preserve">, co ed. Louis </w:t>
      </w:r>
      <w:proofErr w:type="spellStart"/>
      <w:r w:rsidRPr="00AB383B">
        <w:rPr>
          <w:rFonts w:ascii="Times New Roman" w:hAnsi="Times New Roman" w:cs="Times New Roman"/>
        </w:rPr>
        <w:t>Vos</w:t>
      </w:r>
      <w:proofErr w:type="spellEnd"/>
      <w:r w:rsidRPr="00AB383B">
        <w:rPr>
          <w:rFonts w:ascii="Times New Roman" w:hAnsi="Times New Roman" w:cs="Times New Roman"/>
        </w:rPr>
        <w:t xml:space="preserve"> and Lode </w:t>
      </w:r>
      <w:proofErr w:type="spellStart"/>
      <w:r w:rsidRPr="00AB383B">
        <w:rPr>
          <w:rFonts w:ascii="Times New Roman" w:hAnsi="Times New Roman" w:cs="Times New Roman"/>
        </w:rPr>
        <w:t>Wils</w:t>
      </w:r>
      <w:proofErr w:type="spellEnd"/>
      <w:r w:rsidRPr="00AB383B">
        <w:rPr>
          <w:rFonts w:ascii="Times New Roman" w:hAnsi="Times New Roman" w:cs="Times New Roman"/>
        </w:rPr>
        <w:t xml:space="preserve"> (London: The </w:t>
      </w:r>
      <w:proofErr w:type="spellStart"/>
      <w:r w:rsidRPr="00AB383B">
        <w:rPr>
          <w:rFonts w:ascii="Times New Roman" w:hAnsi="Times New Roman" w:cs="Times New Roman"/>
        </w:rPr>
        <w:t>Athlone</w:t>
      </w:r>
      <w:proofErr w:type="spellEnd"/>
      <w:r w:rsidRPr="00AB383B">
        <w:rPr>
          <w:rFonts w:ascii="Times New Roman" w:hAnsi="Times New Roman" w:cs="Times New Roman"/>
        </w:rPr>
        <w:t xml:space="preserve"> Press, 1992), 210.</w:t>
      </w:r>
    </w:p>
  </w:footnote>
  <w:footnote w:id="78">
    <w:p w14:paraId="00A844CD" w14:textId="77777777" w:rsidR="00BC3EC4" w:rsidRPr="00AB383B" w:rsidRDefault="00BC3EC4" w:rsidP="00961436">
      <w:pPr>
        <w:pStyle w:val="FootnoteText"/>
        <w:rPr>
          <w:rFonts w:ascii="Times New Roman" w:hAnsi="Times New Roman" w:cs="Times New Roman"/>
        </w:rPr>
      </w:pPr>
      <w:r w:rsidRPr="00AB383B">
        <w:rPr>
          <w:rStyle w:val="FootnoteReference"/>
          <w:rFonts w:ascii="Times New Roman" w:hAnsi="Times New Roman" w:cs="Times New Roman"/>
        </w:rPr>
        <w:footnoteRef/>
      </w:r>
      <w:r w:rsidRPr="00AB383B">
        <w:rPr>
          <w:rFonts w:ascii="Times New Roman" w:hAnsi="Times New Roman" w:cs="Times New Roman"/>
        </w:rPr>
        <w:t xml:space="preserve"> Ibid., 211</w:t>
      </w:r>
    </w:p>
  </w:footnote>
  <w:footnote w:id="79">
    <w:p w14:paraId="704FE611" w14:textId="69ADA7F0" w:rsidR="00440071" w:rsidRPr="00440071" w:rsidRDefault="00440071">
      <w:pPr>
        <w:pStyle w:val="FootnoteText"/>
        <w:rPr>
          <w:rFonts w:ascii="Times New Roman" w:hAnsi="Times New Roman" w:cs="Times New Roman"/>
        </w:rPr>
      </w:pPr>
      <w:r w:rsidRPr="00440071">
        <w:rPr>
          <w:rStyle w:val="FootnoteReference"/>
          <w:rFonts w:ascii="Times New Roman" w:hAnsi="Times New Roman" w:cs="Times New Roman"/>
        </w:rPr>
        <w:footnoteRef/>
      </w:r>
      <w:r w:rsidRPr="00440071">
        <w:rPr>
          <w:rFonts w:ascii="Times New Roman" w:hAnsi="Times New Roman" w:cs="Times New Roman"/>
        </w:rPr>
        <w:t xml:space="preserve"> This thesis uses the language of Other because, while all identities are constructed in opposition to an external threat, the constructions outlive that threat and become a way to delineate us vs. them in all three cases.</w:t>
      </w:r>
      <w:bookmarkStart w:id="0" w:name="_GoBack"/>
      <w:bookmarkEnd w:id="0"/>
    </w:p>
  </w:footnote>
  <w:footnote w:id="80">
    <w:p w14:paraId="52641D1A" w14:textId="77777777" w:rsidR="00BC3EC4" w:rsidRPr="00AC639C" w:rsidRDefault="00BC3EC4" w:rsidP="00961436">
      <w:pPr>
        <w:pStyle w:val="FootnoteText"/>
        <w:rPr>
          <w:rFonts w:ascii="Times New Roman" w:hAnsi="Times New Roman" w:cs="Times New Roman"/>
        </w:rPr>
      </w:pPr>
      <w:r w:rsidRPr="00AC639C">
        <w:rPr>
          <w:rStyle w:val="FootnoteReference"/>
          <w:rFonts w:ascii="Times New Roman" w:hAnsi="Times New Roman" w:cs="Times New Roman"/>
        </w:rPr>
        <w:footnoteRef/>
      </w:r>
      <w:r w:rsidRPr="00AC639C">
        <w:rPr>
          <w:rFonts w:ascii="Times New Roman" w:hAnsi="Times New Roman" w:cs="Times New Roman"/>
        </w:rPr>
        <w:t xml:space="preserve"> Alexander Campbell, </w:t>
      </w:r>
      <w:r w:rsidRPr="00AC639C">
        <w:rPr>
          <w:rFonts w:ascii="Times New Roman" w:hAnsi="Times New Roman" w:cs="Times New Roman"/>
          <w:i/>
        </w:rPr>
        <w:t>An Introduction to the History of Poetry in Scotland, from the Beginning of the Thirteenth Century down to the Present Time</w:t>
      </w:r>
      <w:r w:rsidRPr="00AC639C">
        <w:rPr>
          <w:rFonts w:ascii="Times New Roman" w:hAnsi="Times New Roman" w:cs="Times New Roman"/>
        </w:rPr>
        <w:t xml:space="preserve"> (New York: Garland Publishing, Inc., 1798), 208.</w:t>
      </w:r>
    </w:p>
  </w:footnote>
  <w:footnote w:id="81">
    <w:p w14:paraId="65BD43DD" w14:textId="77777777" w:rsidR="00BC3EC4" w:rsidRPr="00AC639C" w:rsidRDefault="00BC3EC4" w:rsidP="00961436">
      <w:pPr>
        <w:pStyle w:val="FootnoteText"/>
        <w:rPr>
          <w:rFonts w:ascii="Times New Roman" w:hAnsi="Times New Roman" w:cs="Times New Roman"/>
        </w:rPr>
      </w:pPr>
      <w:r w:rsidRPr="00AC639C">
        <w:rPr>
          <w:rStyle w:val="FootnoteReference"/>
          <w:rFonts w:ascii="Times New Roman" w:hAnsi="Times New Roman" w:cs="Times New Roman"/>
        </w:rPr>
        <w:footnoteRef/>
      </w:r>
      <w:r w:rsidRPr="00AC639C">
        <w:rPr>
          <w:rFonts w:ascii="Times New Roman" w:hAnsi="Times New Roman" w:cs="Times New Roman"/>
        </w:rPr>
        <w:t xml:space="preserve"> Ibid., 209.</w:t>
      </w:r>
    </w:p>
  </w:footnote>
  <w:footnote w:id="82">
    <w:p w14:paraId="28E15D4A" w14:textId="77777777" w:rsidR="00BC3EC4" w:rsidRPr="00AC639C" w:rsidRDefault="00BC3EC4" w:rsidP="00961436">
      <w:pPr>
        <w:pStyle w:val="FootnoteText"/>
        <w:rPr>
          <w:rFonts w:ascii="Times New Roman" w:hAnsi="Times New Roman" w:cs="Times New Roman"/>
        </w:rPr>
      </w:pPr>
      <w:r w:rsidRPr="00AC639C">
        <w:rPr>
          <w:rStyle w:val="FootnoteReference"/>
          <w:rFonts w:ascii="Times New Roman" w:hAnsi="Times New Roman" w:cs="Times New Roman"/>
        </w:rPr>
        <w:footnoteRef/>
      </w:r>
      <w:r w:rsidRPr="00AC639C">
        <w:rPr>
          <w:rFonts w:ascii="Times New Roman" w:hAnsi="Times New Roman" w:cs="Times New Roman"/>
        </w:rPr>
        <w:t xml:space="preserve"> Ibid., 209-211.</w:t>
      </w:r>
    </w:p>
  </w:footnote>
  <w:footnote w:id="83">
    <w:p w14:paraId="68C497DA" w14:textId="77777777" w:rsidR="00BC3EC4" w:rsidRPr="00AC639C" w:rsidRDefault="00BC3EC4" w:rsidP="00961436">
      <w:pPr>
        <w:pStyle w:val="FootnoteText"/>
        <w:rPr>
          <w:rFonts w:ascii="Times New Roman" w:hAnsi="Times New Roman" w:cs="Times New Roman"/>
        </w:rPr>
      </w:pPr>
      <w:r w:rsidRPr="00AC639C">
        <w:rPr>
          <w:rStyle w:val="FootnoteReference"/>
          <w:rFonts w:ascii="Times New Roman" w:hAnsi="Times New Roman" w:cs="Times New Roman"/>
        </w:rPr>
        <w:footnoteRef/>
      </w:r>
      <w:r w:rsidRPr="00AC639C">
        <w:rPr>
          <w:rFonts w:ascii="Times New Roman" w:hAnsi="Times New Roman" w:cs="Times New Roman"/>
        </w:rPr>
        <w:t xml:space="preserve"> Robert Burns, </w:t>
      </w:r>
      <w:r w:rsidRPr="00AC639C">
        <w:rPr>
          <w:rFonts w:ascii="Times New Roman" w:hAnsi="Times New Roman" w:cs="Times New Roman"/>
          <w:i/>
        </w:rPr>
        <w:t xml:space="preserve">Remarks on Scottish Songs and Ballads, Ancient and Modern. With Anecdotes of their Authors </w:t>
      </w:r>
      <w:r w:rsidRPr="00AC639C">
        <w:rPr>
          <w:rFonts w:ascii="Times New Roman" w:hAnsi="Times New Roman" w:cs="Times New Roman"/>
        </w:rPr>
        <w:t xml:space="preserve">(London: John James </w:t>
      </w:r>
      <w:proofErr w:type="spellStart"/>
      <w:r w:rsidRPr="00AC639C">
        <w:rPr>
          <w:rFonts w:ascii="Times New Roman" w:hAnsi="Times New Roman" w:cs="Times New Roman"/>
        </w:rPr>
        <w:t>Chidley</w:t>
      </w:r>
      <w:proofErr w:type="spellEnd"/>
      <w:r w:rsidRPr="00AC639C">
        <w:rPr>
          <w:rFonts w:ascii="Times New Roman" w:hAnsi="Times New Roman" w:cs="Times New Roman"/>
        </w:rPr>
        <w:t>, 1841), 106.</w:t>
      </w:r>
    </w:p>
  </w:footnote>
  <w:footnote w:id="84">
    <w:p w14:paraId="59027A55" w14:textId="77777777" w:rsidR="00BC3EC4" w:rsidRPr="00AC639C" w:rsidRDefault="00BC3EC4" w:rsidP="00961436">
      <w:pPr>
        <w:pStyle w:val="FootnoteText"/>
        <w:rPr>
          <w:rFonts w:ascii="Times New Roman" w:hAnsi="Times New Roman" w:cs="Times New Roman"/>
        </w:rPr>
      </w:pPr>
      <w:r w:rsidRPr="00AC639C">
        <w:rPr>
          <w:rStyle w:val="FootnoteReference"/>
          <w:rFonts w:ascii="Times New Roman" w:hAnsi="Times New Roman" w:cs="Times New Roman"/>
        </w:rPr>
        <w:footnoteRef/>
      </w:r>
      <w:r w:rsidRPr="00AC639C">
        <w:rPr>
          <w:rFonts w:ascii="Times New Roman" w:hAnsi="Times New Roman" w:cs="Times New Roman"/>
        </w:rPr>
        <w:t xml:space="preserve"> Alexander Campbell, </w:t>
      </w:r>
      <w:r w:rsidRPr="00AC639C">
        <w:rPr>
          <w:rFonts w:ascii="Times New Roman" w:hAnsi="Times New Roman" w:cs="Times New Roman"/>
          <w:i/>
        </w:rPr>
        <w:t>An Introduction to the History of Poetry in Scotland</w:t>
      </w:r>
      <w:r w:rsidRPr="00AC639C">
        <w:rPr>
          <w:rFonts w:ascii="Times New Roman" w:hAnsi="Times New Roman" w:cs="Times New Roman"/>
        </w:rPr>
        <w:t>, 212.</w:t>
      </w:r>
    </w:p>
  </w:footnote>
  <w:footnote w:id="85">
    <w:p w14:paraId="4F1BFD8C" w14:textId="77777777" w:rsidR="00BC3EC4" w:rsidRPr="00AC639C" w:rsidRDefault="00BC3EC4" w:rsidP="00961436">
      <w:pPr>
        <w:pStyle w:val="FootnoteText"/>
        <w:rPr>
          <w:rFonts w:ascii="Times New Roman" w:hAnsi="Times New Roman" w:cs="Times New Roman"/>
        </w:rPr>
      </w:pPr>
      <w:r w:rsidRPr="00AC639C">
        <w:rPr>
          <w:rStyle w:val="FootnoteReference"/>
          <w:rFonts w:ascii="Times New Roman" w:hAnsi="Times New Roman" w:cs="Times New Roman"/>
        </w:rPr>
        <w:footnoteRef/>
      </w:r>
      <w:r w:rsidRPr="00AC639C">
        <w:rPr>
          <w:rFonts w:ascii="Times New Roman" w:hAnsi="Times New Roman" w:cs="Times New Roman"/>
        </w:rPr>
        <w:t xml:space="preserve"> Ibid., 213.</w:t>
      </w:r>
    </w:p>
  </w:footnote>
  <w:footnote w:id="86">
    <w:p w14:paraId="7FDAC88F" w14:textId="77777777" w:rsidR="00BC3EC4" w:rsidRPr="00AC639C" w:rsidRDefault="00BC3EC4" w:rsidP="00961436">
      <w:pPr>
        <w:pStyle w:val="FootnoteText"/>
        <w:rPr>
          <w:rFonts w:ascii="Times New Roman" w:hAnsi="Times New Roman" w:cs="Times New Roman"/>
        </w:rPr>
      </w:pPr>
      <w:r w:rsidRPr="00AC639C">
        <w:rPr>
          <w:rStyle w:val="FootnoteReference"/>
          <w:rFonts w:ascii="Times New Roman" w:hAnsi="Times New Roman" w:cs="Times New Roman"/>
        </w:rPr>
        <w:footnoteRef/>
      </w:r>
      <w:r w:rsidRPr="00AC639C">
        <w:rPr>
          <w:rFonts w:ascii="Times New Roman" w:hAnsi="Times New Roman" w:cs="Times New Roman"/>
        </w:rPr>
        <w:t xml:space="preserve"> Ibid., 212-214.</w:t>
      </w:r>
    </w:p>
  </w:footnote>
  <w:footnote w:id="87">
    <w:p w14:paraId="074D1AF3" w14:textId="77777777" w:rsidR="00BC3EC4" w:rsidRPr="00AC639C" w:rsidRDefault="00BC3EC4" w:rsidP="00961436">
      <w:pPr>
        <w:pStyle w:val="FootnoteText"/>
        <w:rPr>
          <w:rFonts w:ascii="Times New Roman" w:hAnsi="Times New Roman" w:cs="Times New Roman"/>
        </w:rPr>
      </w:pPr>
      <w:r w:rsidRPr="00AC639C">
        <w:rPr>
          <w:rStyle w:val="FootnoteReference"/>
          <w:rFonts w:ascii="Times New Roman" w:hAnsi="Times New Roman" w:cs="Times New Roman"/>
        </w:rPr>
        <w:footnoteRef/>
      </w:r>
      <w:r w:rsidRPr="00AC639C">
        <w:rPr>
          <w:rFonts w:ascii="Times New Roman" w:hAnsi="Times New Roman" w:cs="Times New Roman"/>
        </w:rPr>
        <w:t xml:space="preserve"> Ibid., 217-218.</w:t>
      </w:r>
    </w:p>
  </w:footnote>
  <w:footnote w:id="88">
    <w:p w14:paraId="340F9FA4" w14:textId="77777777" w:rsidR="00BC3EC4" w:rsidRPr="00AC639C" w:rsidRDefault="00BC3EC4" w:rsidP="00961436">
      <w:pPr>
        <w:pStyle w:val="FootnoteText"/>
        <w:rPr>
          <w:rFonts w:ascii="Times New Roman" w:hAnsi="Times New Roman" w:cs="Times New Roman"/>
        </w:rPr>
      </w:pPr>
      <w:r w:rsidRPr="00AC639C">
        <w:rPr>
          <w:rStyle w:val="FootnoteReference"/>
          <w:rFonts w:ascii="Times New Roman" w:hAnsi="Times New Roman" w:cs="Times New Roman"/>
        </w:rPr>
        <w:footnoteRef/>
      </w:r>
      <w:r w:rsidRPr="00AC639C">
        <w:rPr>
          <w:rFonts w:ascii="Times New Roman" w:hAnsi="Times New Roman" w:cs="Times New Roman"/>
        </w:rPr>
        <w:t xml:space="preserve"> Robert Burns, </w:t>
      </w:r>
      <w:r w:rsidRPr="00AC639C">
        <w:rPr>
          <w:rFonts w:ascii="Times New Roman" w:hAnsi="Times New Roman" w:cs="Times New Roman"/>
          <w:i/>
        </w:rPr>
        <w:t>Notes on Scottish Songs</w:t>
      </w:r>
      <w:r w:rsidRPr="00AC639C">
        <w:rPr>
          <w:rFonts w:ascii="Times New Roman" w:hAnsi="Times New Roman" w:cs="Times New Roman"/>
        </w:rPr>
        <w:t xml:space="preserve">, ed. James C. Dick (London: Henry </w:t>
      </w:r>
      <w:proofErr w:type="spellStart"/>
      <w:r w:rsidRPr="00AC639C">
        <w:rPr>
          <w:rFonts w:ascii="Times New Roman" w:hAnsi="Times New Roman" w:cs="Times New Roman"/>
        </w:rPr>
        <w:t>Frowde</w:t>
      </w:r>
      <w:proofErr w:type="spellEnd"/>
      <w:r w:rsidRPr="00AC639C">
        <w:rPr>
          <w:rFonts w:ascii="Times New Roman" w:hAnsi="Times New Roman" w:cs="Times New Roman"/>
        </w:rPr>
        <w:t>, 1908), 28.</w:t>
      </w:r>
    </w:p>
  </w:footnote>
  <w:footnote w:id="89">
    <w:p w14:paraId="566C155E" w14:textId="77777777" w:rsidR="00BC3EC4" w:rsidRPr="00AC639C" w:rsidRDefault="00BC3EC4" w:rsidP="00961436">
      <w:pPr>
        <w:pStyle w:val="FootnoteText"/>
        <w:rPr>
          <w:rFonts w:ascii="Times New Roman" w:hAnsi="Times New Roman" w:cs="Times New Roman"/>
        </w:rPr>
      </w:pPr>
      <w:r w:rsidRPr="00AC639C">
        <w:rPr>
          <w:rStyle w:val="FootnoteReference"/>
          <w:rFonts w:ascii="Times New Roman" w:hAnsi="Times New Roman" w:cs="Times New Roman"/>
        </w:rPr>
        <w:footnoteRef/>
      </w:r>
      <w:r w:rsidRPr="00AC639C">
        <w:rPr>
          <w:rFonts w:ascii="Times New Roman" w:hAnsi="Times New Roman" w:cs="Times New Roman"/>
        </w:rPr>
        <w:t xml:space="preserve"> Robert Burns, </w:t>
      </w:r>
      <w:r w:rsidRPr="00AC639C">
        <w:rPr>
          <w:rFonts w:ascii="Times New Roman" w:hAnsi="Times New Roman" w:cs="Times New Roman"/>
          <w:i/>
        </w:rPr>
        <w:t>Remarks on Scottish Songs</w:t>
      </w:r>
      <w:r w:rsidRPr="00AC639C">
        <w:rPr>
          <w:rFonts w:ascii="Times New Roman" w:hAnsi="Times New Roman" w:cs="Times New Roman"/>
        </w:rPr>
        <w:t xml:space="preserve"> 61.</w:t>
      </w:r>
    </w:p>
  </w:footnote>
  <w:footnote w:id="90">
    <w:p w14:paraId="0B7C993C" w14:textId="77777777" w:rsidR="00BC3EC4" w:rsidRPr="00AC639C" w:rsidRDefault="00BC3EC4" w:rsidP="00961436">
      <w:pPr>
        <w:pStyle w:val="FootnoteText"/>
        <w:rPr>
          <w:rFonts w:ascii="Times New Roman" w:hAnsi="Times New Roman" w:cs="Times New Roman"/>
        </w:rPr>
      </w:pPr>
      <w:r w:rsidRPr="00AC639C">
        <w:rPr>
          <w:rStyle w:val="FootnoteReference"/>
          <w:rFonts w:ascii="Times New Roman" w:hAnsi="Times New Roman" w:cs="Times New Roman"/>
        </w:rPr>
        <w:footnoteRef/>
      </w:r>
      <w:r w:rsidRPr="00AC639C">
        <w:rPr>
          <w:rFonts w:ascii="Times New Roman" w:hAnsi="Times New Roman" w:cs="Times New Roman"/>
        </w:rPr>
        <w:t xml:space="preserve"> Ibid., 60.</w:t>
      </w:r>
    </w:p>
  </w:footnote>
  <w:footnote w:id="91">
    <w:p w14:paraId="460F3D5B" w14:textId="77777777" w:rsidR="00BC3EC4" w:rsidRPr="00AC639C" w:rsidRDefault="00BC3EC4" w:rsidP="00961436">
      <w:pPr>
        <w:pStyle w:val="FootnoteText"/>
        <w:rPr>
          <w:rFonts w:ascii="Times New Roman" w:hAnsi="Times New Roman" w:cs="Times New Roman"/>
        </w:rPr>
      </w:pPr>
      <w:r w:rsidRPr="00AC639C">
        <w:rPr>
          <w:rStyle w:val="FootnoteReference"/>
          <w:rFonts w:ascii="Times New Roman" w:hAnsi="Times New Roman" w:cs="Times New Roman"/>
        </w:rPr>
        <w:footnoteRef/>
      </w:r>
      <w:r w:rsidRPr="00AC639C">
        <w:rPr>
          <w:rFonts w:ascii="Times New Roman" w:hAnsi="Times New Roman" w:cs="Times New Roman"/>
        </w:rPr>
        <w:t xml:space="preserve"> Robert Burns, </w:t>
      </w:r>
      <w:r w:rsidRPr="00AC639C">
        <w:rPr>
          <w:rFonts w:ascii="Times New Roman" w:hAnsi="Times New Roman" w:cs="Times New Roman"/>
          <w:i/>
        </w:rPr>
        <w:t>Remarks on Scottish Songs</w:t>
      </w:r>
      <w:r w:rsidRPr="00AC639C">
        <w:rPr>
          <w:rFonts w:ascii="Times New Roman" w:hAnsi="Times New Roman" w:cs="Times New Roman"/>
        </w:rPr>
        <w:t xml:space="preserve"> 13-14.</w:t>
      </w:r>
    </w:p>
  </w:footnote>
  <w:footnote w:id="92">
    <w:p w14:paraId="51B1AC7E" w14:textId="77777777" w:rsidR="00BC3EC4" w:rsidRPr="00AC639C" w:rsidRDefault="00BC3EC4" w:rsidP="00961436">
      <w:pPr>
        <w:pStyle w:val="FootnoteText"/>
        <w:rPr>
          <w:rFonts w:ascii="Times New Roman" w:hAnsi="Times New Roman" w:cs="Times New Roman"/>
        </w:rPr>
      </w:pPr>
      <w:r w:rsidRPr="00AC639C">
        <w:rPr>
          <w:rStyle w:val="FootnoteReference"/>
          <w:rFonts w:ascii="Times New Roman" w:hAnsi="Times New Roman" w:cs="Times New Roman"/>
        </w:rPr>
        <w:footnoteRef/>
      </w:r>
      <w:r w:rsidRPr="00AC639C">
        <w:rPr>
          <w:rFonts w:ascii="Times New Roman" w:hAnsi="Times New Roman" w:cs="Times New Roman"/>
        </w:rPr>
        <w:t xml:space="preserve"> Robert Burns, </w:t>
      </w:r>
      <w:r w:rsidRPr="00AC639C">
        <w:rPr>
          <w:rFonts w:ascii="Times New Roman" w:hAnsi="Times New Roman" w:cs="Times New Roman"/>
          <w:i/>
        </w:rPr>
        <w:t>Notes on Scottish Songs</w:t>
      </w:r>
      <w:r w:rsidRPr="00AC639C">
        <w:rPr>
          <w:rFonts w:ascii="Times New Roman" w:hAnsi="Times New Roman" w:cs="Times New Roman"/>
        </w:rPr>
        <w:t xml:space="preserve"> xliii.</w:t>
      </w:r>
    </w:p>
  </w:footnote>
  <w:footnote w:id="93">
    <w:p w14:paraId="28332ED9" w14:textId="77777777" w:rsidR="00BC3EC4" w:rsidRPr="00AC639C" w:rsidRDefault="00BC3EC4" w:rsidP="00961436">
      <w:pPr>
        <w:pStyle w:val="FootnoteText"/>
        <w:rPr>
          <w:rFonts w:ascii="Times New Roman" w:hAnsi="Times New Roman" w:cs="Times New Roman"/>
        </w:rPr>
      </w:pPr>
      <w:r w:rsidRPr="00AC639C">
        <w:rPr>
          <w:rStyle w:val="FootnoteReference"/>
          <w:rFonts w:ascii="Times New Roman" w:hAnsi="Times New Roman" w:cs="Times New Roman"/>
        </w:rPr>
        <w:footnoteRef/>
      </w:r>
      <w:r w:rsidRPr="00AC639C">
        <w:rPr>
          <w:rFonts w:ascii="Times New Roman" w:hAnsi="Times New Roman" w:cs="Times New Roman"/>
        </w:rPr>
        <w:t xml:space="preserve"> Robert Burns, </w:t>
      </w:r>
      <w:r w:rsidRPr="00AC639C">
        <w:rPr>
          <w:rFonts w:ascii="Times New Roman" w:hAnsi="Times New Roman" w:cs="Times New Roman"/>
          <w:i/>
        </w:rPr>
        <w:t>Remarks on Scottish Songs</w:t>
      </w:r>
      <w:r w:rsidRPr="00AC639C">
        <w:rPr>
          <w:rFonts w:ascii="Times New Roman" w:hAnsi="Times New Roman" w:cs="Times New Roman"/>
        </w:rPr>
        <w:t xml:space="preserve"> 181-182.</w:t>
      </w:r>
    </w:p>
  </w:footnote>
  <w:footnote w:id="94">
    <w:p w14:paraId="4E9902D6" w14:textId="77777777" w:rsidR="00BC3EC4" w:rsidRPr="00AC639C" w:rsidRDefault="00BC3EC4" w:rsidP="00961436">
      <w:pPr>
        <w:pStyle w:val="FootnoteText"/>
        <w:rPr>
          <w:rFonts w:ascii="Times New Roman" w:hAnsi="Times New Roman" w:cs="Times New Roman"/>
        </w:rPr>
      </w:pPr>
      <w:r w:rsidRPr="00AC639C">
        <w:rPr>
          <w:rStyle w:val="FootnoteReference"/>
          <w:rFonts w:ascii="Times New Roman" w:hAnsi="Times New Roman" w:cs="Times New Roman"/>
        </w:rPr>
        <w:footnoteRef/>
      </w:r>
      <w:r w:rsidRPr="00AC639C">
        <w:rPr>
          <w:rFonts w:ascii="Times New Roman" w:hAnsi="Times New Roman" w:cs="Times New Roman"/>
        </w:rPr>
        <w:t xml:space="preserve"> Ibid., 181.</w:t>
      </w:r>
    </w:p>
  </w:footnote>
  <w:footnote w:id="95">
    <w:p w14:paraId="5F0EBAEF" w14:textId="77777777" w:rsidR="00BC3EC4" w:rsidRPr="00AC639C" w:rsidRDefault="00BC3EC4" w:rsidP="00961436">
      <w:pPr>
        <w:pStyle w:val="FootnoteText"/>
        <w:rPr>
          <w:rFonts w:ascii="Times New Roman" w:hAnsi="Times New Roman" w:cs="Times New Roman"/>
        </w:rPr>
      </w:pPr>
      <w:r w:rsidRPr="00AC639C">
        <w:rPr>
          <w:rStyle w:val="FootnoteReference"/>
          <w:rFonts w:ascii="Times New Roman" w:hAnsi="Times New Roman" w:cs="Times New Roman"/>
        </w:rPr>
        <w:footnoteRef/>
      </w:r>
      <w:r w:rsidRPr="00AC639C">
        <w:rPr>
          <w:rFonts w:ascii="Times New Roman" w:hAnsi="Times New Roman" w:cs="Times New Roman"/>
        </w:rPr>
        <w:t xml:space="preserve"> Robert Burns, </w:t>
      </w:r>
      <w:r w:rsidRPr="00AC639C">
        <w:rPr>
          <w:rFonts w:ascii="Times New Roman" w:hAnsi="Times New Roman" w:cs="Times New Roman"/>
          <w:i/>
        </w:rPr>
        <w:t>Notes on Scottish Songs</w:t>
      </w:r>
      <w:r w:rsidRPr="00AC639C">
        <w:rPr>
          <w:rFonts w:ascii="Times New Roman" w:hAnsi="Times New Roman" w:cs="Times New Roman"/>
        </w:rPr>
        <w:t xml:space="preserve"> 4-5.</w:t>
      </w:r>
    </w:p>
  </w:footnote>
  <w:footnote w:id="96">
    <w:p w14:paraId="532651F1" w14:textId="77777777" w:rsidR="00BC3EC4" w:rsidRPr="00AC639C" w:rsidRDefault="00BC3EC4" w:rsidP="00961436">
      <w:pPr>
        <w:pStyle w:val="FootnoteText"/>
        <w:rPr>
          <w:rFonts w:ascii="Times New Roman" w:hAnsi="Times New Roman" w:cs="Times New Roman"/>
        </w:rPr>
      </w:pPr>
      <w:r w:rsidRPr="00AC639C">
        <w:rPr>
          <w:rStyle w:val="FootnoteReference"/>
          <w:rFonts w:ascii="Times New Roman" w:hAnsi="Times New Roman" w:cs="Times New Roman"/>
        </w:rPr>
        <w:footnoteRef/>
      </w:r>
      <w:r w:rsidRPr="00AC639C">
        <w:rPr>
          <w:rFonts w:ascii="Times New Roman" w:hAnsi="Times New Roman" w:cs="Times New Roman"/>
        </w:rPr>
        <w:t xml:space="preserve"> Ibid.</w:t>
      </w:r>
    </w:p>
  </w:footnote>
  <w:footnote w:id="97">
    <w:p w14:paraId="002272B5" w14:textId="77777777" w:rsidR="00BC3EC4" w:rsidRPr="00AC639C" w:rsidRDefault="00BC3EC4" w:rsidP="00961436">
      <w:pPr>
        <w:pStyle w:val="FootnoteText"/>
        <w:rPr>
          <w:rFonts w:ascii="Times New Roman" w:hAnsi="Times New Roman" w:cs="Times New Roman"/>
        </w:rPr>
      </w:pPr>
      <w:r w:rsidRPr="00AC639C">
        <w:rPr>
          <w:rStyle w:val="FootnoteReference"/>
          <w:rFonts w:ascii="Times New Roman" w:hAnsi="Times New Roman" w:cs="Times New Roman"/>
        </w:rPr>
        <w:footnoteRef/>
      </w:r>
      <w:r w:rsidRPr="00AC639C">
        <w:rPr>
          <w:rFonts w:ascii="Times New Roman" w:hAnsi="Times New Roman" w:cs="Times New Roman"/>
        </w:rPr>
        <w:t xml:space="preserve"> </w:t>
      </w:r>
      <w:proofErr w:type="spellStart"/>
      <w:r w:rsidRPr="00AC639C">
        <w:rPr>
          <w:rFonts w:ascii="Times New Roman" w:hAnsi="Times New Roman" w:cs="Times New Roman"/>
        </w:rPr>
        <w:t>Gi-Wook</w:t>
      </w:r>
      <w:proofErr w:type="spellEnd"/>
      <w:r w:rsidRPr="00AC639C">
        <w:rPr>
          <w:rFonts w:ascii="Times New Roman" w:hAnsi="Times New Roman" w:cs="Times New Roman"/>
        </w:rPr>
        <w:t xml:space="preserve"> Shin, </w:t>
      </w:r>
      <w:r w:rsidRPr="00AC639C">
        <w:rPr>
          <w:rFonts w:ascii="Times New Roman" w:hAnsi="Times New Roman" w:cs="Times New Roman"/>
          <w:i/>
        </w:rPr>
        <w:t>Ethnic Nationalism in Korea: Genealogy, Politics, and Legacy</w:t>
      </w:r>
      <w:r w:rsidRPr="00AC639C">
        <w:rPr>
          <w:rFonts w:ascii="Times New Roman" w:hAnsi="Times New Roman" w:cs="Times New Roman"/>
        </w:rPr>
        <w:t xml:space="preserve"> (Stanford: Stanford University Press, 2006), 44.</w:t>
      </w:r>
    </w:p>
  </w:footnote>
  <w:footnote w:id="98">
    <w:p w14:paraId="4497294C" w14:textId="77777777" w:rsidR="00BC3EC4" w:rsidRPr="00AC639C" w:rsidRDefault="00BC3EC4" w:rsidP="00961436">
      <w:pPr>
        <w:pStyle w:val="FootnoteText"/>
        <w:rPr>
          <w:rFonts w:ascii="Times New Roman" w:hAnsi="Times New Roman" w:cs="Times New Roman"/>
        </w:rPr>
      </w:pPr>
      <w:r w:rsidRPr="00AC639C">
        <w:rPr>
          <w:rStyle w:val="FootnoteReference"/>
          <w:rFonts w:ascii="Times New Roman" w:hAnsi="Times New Roman" w:cs="Times New Roman"/>
        </w:rPr>
        <w:footnoteRef/>
      </w:r>
      <w:r w:rsidRPr="00AC639C">
        <w:rPr>
          <w:rFonts w:ascii="Times New Roman" w:hAnsi="Times New Roman" w:cs="Times New Roman"/>
        </w:rPr>
        <w:t xml:space="preserve"> Ibid., 45.</w:t>
      </w:r>
    </w:p>
  </w:footnote>
  <w:footnote w:id="99">
    <w:p w14:paraId="76183481" w14:textId="77777777" w:rsidR="00BC3EC4" w:rsidRPr="00AC639C" w:rsidRDefault="00BC3EC4" w:rsidP="00961436">
      <w:pPr>
        <w:pStyle w:val="FootnoteText"/>
        <w:rPr>
          <w:rFonts w:ascii="Times New Roman" w:hAnsi="Times New Roman" w:cs="Times New Roman"/>
        </w:rPr>
      </w:pPr>
      <w:r w:rsidRPr="00AC639C">
        <w:rPr>
          <w:rStyle w:val="FootnoteReference"/>
          <w:rFonts w:ascii="Times New Roman" w:hAnsi="Times New Roman" w:cs="Times New Roman"/>
        </w:rPr>
        <w:footnoteRef/>
      </w:r>
      <w:r w:rsidRPr="00AC639C">
        <w:rPr>
          <w:rFonts w:ascii="Times New Roman" w:hAnsi="Times New Roman" w:cs="Times New Roman"/>
        </w:rPr>
        <w:t xml:space="preserve"> </w:t>
      </w:r>
      <w:proofErr w:type="spellStart"/>
      <w:r w:rsidRPr="00AC639C">
        <w:rPr>
          <w:rFonts w:ascii="Times New Roman" w:hAnsi="Times New Roman" w:cs="Times New Roman"/>
        </w:rPr>
        <w:t>Hak</w:t>
      </w:r>
      <w:proofErr w:type="spellEnd"/>
      <w:r w:rsidRPr="00AC639C">
        <w:rPr>
          <w:rFonts w:ascii="Times New Roman" w:hAnsi="Times New Roman" w:cs="Times New Roman"/>
        </w:rPr>
        <w:t xml:space="preserve"> </w:t>
      </w:r>
      <w:proofErr w:type="spellStart"/>
      <w:r w:rsidRPr="00AC639C">
        <w:rPr>
          <w:rFonts w:ascii="Times New Roman" w:hAnsi="Times New Roman" w:cs="Times New Roman"/>
        </w:rPr>
        <w:t>Joo</w:t>
      </w:r>
      <w:proofErr w:type="spellEnd"/>
      <w:r w:rsidRPr="00AC639C">
        <w:rPr>
          <w:rFonts w:ascii="Times New Roman" w:hAnsi="Times New Roman" w:cs="Times New Roman"/>
        </w:rPr>
        <w:t xml:space="preserve"> Choi, </w:t>
      </w:r>
      <w:proofErr w:type="spellStart"/>
      <w:r w:rsidRPr="00AC639C">
        <w:rPr>
          <w:rFonts w:ascii="Times New Roman" w:hAnsi="Times New Roman" w:cs="Times New Roman"/>
          <w:i/>
        </w:rPr>
        <w:t>Yuktang</w:t>
      </w:r>
      <w:proofErr w:type="spellEnd"/>
      <w:r w:rsidRPr="00AC639C">
        <w:rPr>
          <w:rFonts w:ascii="Times New Roman" w:hAnsi="Times New Roman" w:cs="Times New Roman"/>
          <w:i/>
        </w:rPr>
        <w:t xml:space="preserve"> </w:t>
      </w:r>
      <w:proofErr w:type="spellStart"/>
      <w:r w:rsidRPr="00AC639C">
        <w:rPr>
          <w:rFonts w:ascii="Times New Roman" w:hAnsi="Times New Roman" w:cs="Times New Roman"/>
          <w:i/>
        </w:rPr>
        <w:t>Ch’oe</w:t>
      </w:r>
      <w:proofErr w:type="spellEnd"/>
      <w:r w:rsidRPr="00AC639C">
        <w:rPr>
          <w:rFonts w:ascii="Times New Roman" w:hAnsi="Times New Roman" w:cs="Times New Roman"/>
          <w:i/>
        </w:rPr>
        <w:t xml:space="preserve"> Nam-</w:t>
      </w:r>
      <w:proofErr w:type="spellStart"/>
      <w:r w:rsidRPr="00AC639C">
        <w:rPr>
          <w:rFonts w:ascii="Times New Roman" w:hAnsi="Times New Roman" w:cs="Times New Roman"/>
          <w:i/>
        </w:rPr>
        <w:t>sōn</w:t>
      </w:r>
      <w:proofErr w:type="spellEnd"/>
      <w:r w:rsidRPr="00AC639C">
        <w:rPr>
          <w:rFonts w:ascii="Times New Roman" w:hAnsi="Times New Roman" w:cs="Times New Roman"/>
          <w:i/>
        </w:rPr>
        <w:t xml:space="preserve"> and Korean Modernity</w:t>
      </w:r>
      <w:r w:rsidRPr="00AC639C">
        <w:rPr>
          <w:rFonts w:ascii="Times New Roman" w:hAnsi="Times New Roman" w:cs="Times New Roman"/>
        </w:rPr>
        <w:t xml:space="preserve">, trans. </w:t>
      </w:r>
      <w:proofErr w:type="spellStart"/>
      <w:r w:rsidRPr="00AC639C">
        <w:rPr>
          <w:rFonts w:ascii="Times New Roman" w:hAnsi="Times New Roman" w:cs="Times New Roman"/>
        </w:rPr>
        <w:t>Yer</w:t>
      </w:r>
      <w:proofErr w:type="spellEnd"/>
      <w:r w:rsidRPr="00AC639C">
        <w:rPr>
          <w:rFonts w:ascii="Times New Roman" w:hAnsi="Times New Roman" w:cs="Times New Roman"/>
        </w:rPr>
        <w:t>-ae K. Choi (Seoul: YBM, 2012), 165.</w:t>
      </w:r>
    </w:p>
  </w:footnote>
  <w:footnote w:id="100">
    <w:p w14:paraId="19A336AC" w14:textId="77777777" w:rsidR="00BC3EC4" w:rsidRPr="00AC639C" w:rsidRDefault="00BC3EC4" w:rsidP="00961436">
      <w:pPr>
        <w:pStyle w:val="FootnoteText"/>
        <w:rPr>
          <w:rFonts w:ascii="Times New Roman" w:hAnsi="Times New Roman" w:cs="Times New Roman"/>
        </w:rPr>
      </w:pPr>
      <w:r w:rsidRPr="00AC639C">
        <w:rPr>
          <w:rStyle w:val="FootnoteReference"/>
          <w:rFonts w:ascii="Times New Roman" w:hAnsi="Times New Roman" w:cs="Times New Roman"/>
        </w:rPr>
        <w:footnoteRef/>
      </w:r>
      <w:r w:rsidRPr="00AC639C">
        <w:rPr>
          <w:rFonts w:ascii="Times New Roman" w:hAnsi="Times New Roman" w:cs="Times New Roman"/>
        </w:rPr>
        <w:t xml:space="preserve"> Ibid., 166.</w:t>
      </w:r>
    </w:p>
  </w:footnote>
  <w:footnote w:id="101">
    <w:p w14:paraId="25751710" w14:textId="77777777" w:rsidR="00BC3EC4" w:rsidRPr="00AC639C" w:rsidRDefault="00BC3EC4" w:rsidP="00961436">
      <w:pPr>
        <w:pStyle w:val="FootnoteText"/>
        <w:rPr>
          <w:rFonts w:ascii="Times New Roman" w:hAnsi="Times New Roman" w:cs="Times New Roman"/>
        </w:rPr>
      </w:pPr>
      <w:r w:rsidRPr="00AC639C">
        <w:rPr>
          <w:rStyle w:val="FootnoteReference"/>
          <w:rFonts w:ascii="Times New Roman" w:hAnsi="Times New Roman" w:cs="Times New Roman"/>
        </w:rPr>
        <w:footnoteRef/>
      </w:r>
      <w:r w:rsidRPr="00AC639C">
        <w:rPr>
          <w:rFonts w:ascii="Times New Roman" w:hAnsi="Times New Roman" w:cs="Times New Roman"/>
        </w:rPr>
        <w:t xml:space="preserve"> Ibid., 176.</w:t>
      </w:r>
    </w:p>
  </w:footnote>
  <w:footnote w:id="102">
    <w:p w14:paraId="18028B98" w14:textId="77777777" w:rsidR="00BC3EC4" w:rsidRPr="00AC639C" w:rsidRDefault="00BC3EC4" w:rsidP="00961436">
      <w:pPr>
        <w:pStyle w:val="FootnoteText"/>
        <w:rPr>
          <w:rFonts w:ascii="Times New Roman" w:hAnsi="Times New Roman" w:cs="Times New Roman"/>
        </w:rPr>
      </w:pPr>
      <w:r w:rsidRPr="00AC639C">
        <w:rPr>
          <w:rStyle w:val="FootnoteReference"/>
          <w:rFonts w:ascii="Times New Roman" w:hAnsi="Times New Roman" w:cs="Times New Roman"/>
        </w:rPr>
        <w:footnoteRef/>
      </w:r>
      <w:r w:rsidRPr="00AC639C">
        <w:rPr>
          <w:rFonts w:ascii="Times New Roman" w:hAnsi="Times New Roman" w:cs="Times New Roman"/>
        </w:rPr>
        <w:t xml:space="preserve"> Ibid., 181-182.</w:t>
      </w:r>
    </w:p>
  </w:footnote>
  <w:footnote w:id="103">
    <w:p w14:paraId="34B20456" w14:textId="77777777" w:rsidR="00BC3EC4" w:rsidRPr="00AC639C" w:rsidRDefault="00BC3EC4" w:rsidP="00961436">
      <w:pPr>
        <w:pStyle w:val="FootnoteText"/>
        <w:rPr>
          <w:rFonts w:ascii="Times New Roman" w:hAnsi="Times New Roman" w:cs="Times New Roman"/>
        </w:rPr>
      </w:pPr>
      <w:r w:rsidRPr="00AC639C">
        <w:rPr>
          <w:rStyle w:val="FootnoteReference"/>
          <w:rFonts w:ascii="Times New Roman" w:hAnsi="Times New Roman" w:cs="Times New Roman"/>
        </w:rPr>
        <w:footnoteRef/>
      </w:r>
      <w:r w:rsidRPr="00AC639C">
        <w:rPr>
          <w:rFonts w:ascii="Times New Roman" w:hAnsi="Times New Roman" w:cs="Times New Roman"/>
        </w:rPr>
        <w:t xml:space="preserve"> Ibid., 185.</w:t>
      </w:r>
    </w:p>
  </w:footnote>
  <w:footnote w:id="104">
    <w:p w14:paraId="2C5D20F9" w14:textId="77777777" w:rsidR="00BC3EC4" w:rsidRPr="00AC639C" w:rsidRDefault="00BC3EC4" w:rsidP="00961436">
      <w:pPr>
        <w:pStyle w:val="FootnoteText"/>
        <w:rPr>
          <w:rFonts w:ascii="Times New Roman" w:hAnsi="Times New Roman" w:cs="Times New Roman"/>
        </w:rPr>
      </w:pPr>
      <w:r w:rsidRPr="00AC639C">
        <w:rPr>
          <w:rStyle w:val="FootnoteReference"/>
          <w:rFonts w:ascii="Times New Roman" w:hAnsi="Times New Roman" w:cs="Times New Roman"/>
        </w:rPr>
        <w:footnoteRef/>
      </w:r>
      <w:r w:rsidRPr="00AC639C">
        <w:rPr>
          <w:rFonts w:ascii="Times New Roman" w:hAnsi="Times New Roman" w:cs="Times New Roman"/>
        </w:rPr>
        <w:t xml:space="preserve"> Ibid.</w:t>
      </w:r>
    </w:p>
  </w:footnote>
  <w:footnote w:id="105">
    <w:p w14:paraId="0BC6C01C" w14:textId="77777777" w:rsidR="00BC3EC4" w:rsidRPr="00AC639C" w:rsidRDefault="00BC3EC4" w:rsidP="00961436">
      <w:pPr>
        <w:pStyle w:val="FootnoteText"/>
        <w:rPr>
          <w:rFonts w:ascii="Times New Roman" w:hAnsi="Times New Roman" w:cs="Times New Roman"/>
        </w:rPr>
      </w:pPr>
      <w:r w:rsidRPr="00AC639C">
        <w:rPr>
          <w:rStyle w:val="FootnoteReference"/>
          <w:rFonts w:ascii="Times New Roman" w:hAnsi="Times New Roman" w:cs="Times New Roman"/>
        </w:rPr>
        <w:footnoteRef/>
      </w:r>
      <w:r w:rsidRPr="00AC639C">
        <w:rPr>
          <w:rFonts w:ascii="Times New Roman" w:hAnsi="Times New Roman" w:cs="Times New Roman"/>
        </w:rPr>
        <w:t xml:space="preserve"> </w:t>
      </w:r>
      <w:proofErr w:type="spellStart"/>
      <w:r w:rsidRPr="00AC639C">
        <w:rPr>
          <w:rFonts w:ascii="Times New Roman" w:hAnsi="Times New Roman" w:cs="Times New Roman"/>
        </w:rPr>
        <w:t>Seung</w:t>
      </w:r>
      <w:proofErr w:type="spellEnd"/>
      <w:r w:rsidRPr="00AC639C">
        <w:rPr>
          <w:rFonts w:ascii="Times New Roman" w:hAnsi="Times New Roman" w:cs="Times New Roman"/>
        </w:rPr>
        <w:t>-Ah Lee, “</w:t>
      </w:r>
      <w:proofErr w:type="spellStart"/>
      <w:r w:rsidRPr="00AC639C">
        <w:rPr>
          <w:rFonts w:ascii="Times New Roman" w:hAnsi="Times New Roman" w:cs="Times New Roman"/>
        </w:rPr>
        <w:t>Chōng</w:t>
      </w:r>
      <w:proofErr w:type="spellEnd"/>
      <w:r w:rsidRPr="00AC639C">
        <w:rPr>
          <w:rFonts w:ascii="Times New Roman" w:hAnsi="Times New Roman" w:cs="Times New Roman"/>
        </w:rPr>
        <w:t xml:space="preserve"> </w:t>
      </w:r>
      <w:proofErr w:type="spellStart"/>
      <w:r w:rsidRPr="00AC639C">
        <w:rPr>
          <w:rFonts w:ascii="Times New Roman" w:hAnsi="Times New Roman" w:cs="Times New Roman"/>
        </w:rPr>
        <w:t>Inbo</w:t>
      </w:r>
      <w:proofErr w:type="spellEnd"/>
      <w:r w:rsidRPr="00AC639C">
        <w:rPr>
          <w:rFonts w:ascii="Times New Roman" w:hAnsi="Times New Roman" w:cs="Times New Roman"/>
        </w:rPr>
        <w:t xml:space="preserve">” in </w:t>
      </w:r>
      <w:r w:rsidRPr="00AC639C">
        <w:rPr>
          <w:rFonts w:ascii="Times New Roman" w:hAnsi="Times New Roman" w:cs="Times New Roman"/>
          <w:i/>
        </w:rPr>
        <w:t>Imperatives of Culture: Selected Essays on Korean History, Literature, and Society from the Japanese Colonial Era</w:t>
      </w:r>
      <w:r w:rsidRPr="00AC639C">
        <w:rPr>
          <w:rFonts w:ascii="Times New Roman" w:hAnsi="Times New Roman" w:cs="Times New Roman"/>
        </w:rPr>
        <w:t xml:space="preserve">, ed. Christopher P. </w:t>
      </w:r>
      <w:proofErr w:type="spellStart"/>
      <w:r w:rsidRPr="00AC639C">
        <w:rPr>
          <w:rFonts w:ascii="Times New Roman" w:hAnsi="Times New Roman" w:cs="Times New Roman"/>
        </w:rPr>
        <w:t>Hanscom</w:t>
      </w:r>
      <w:proofErr w:type="spellEnd"/>
      <w:r w:rsidRPr="00AC639C">
        <w:rPr>
          <w:rFonts w:ascii="Times New Roman" w:hAnsi="Times New Roman" w:cs="Times New Roman"/>
        </w:rPr>
        <w:t xml:space="preserve">, Walter K. Lew, and </w:t>
      </w:r>
      <w:proofErr w:type="spellStart"/>
      <w:r w:rsidRPr="00AC639C">
        <w:rPr>
          <w:rFonts w:ascii="Times New Roman" w:hAnsi="Times New Roman" w:cs="Times New Roman"/>
        </w:rPr>
        <w:t>Youngju</w:t>
      </w:r>
      <w:proofErr w:type="spellEnd"/>
      <w:r w:rsidRPr="00AC639C">
        <w:rPr>
          <w:rFonts w:ascii="Times New Roman" w:hAnsi="Times New Roman" w:cs="Times New Roman"/>
        </w:rPr>
        <w:t xml:space="preserve"> </w:t>
      </w:r>
      <w:proofErr w:type="spellStart"/>
      <w:r w:rsidRPr="00AC639C">
        <w:rPr>
          <w:rFonts w:ascii="Times New Roman" w:hAnsi="Times New Roman" w:cs="Times New Roman"/>
        </w:rPr>
        <w:t>Ryu</w:t>
      </w:r>
      <w:proofErr w:type="spellEnd"/>
      <w:r w:rsidRPr="00AC639C">
        <w:rPr>
          <w:rFonts w:ascii="Times New Roman" w:hAnsi="Times New Roman" w:cs="Times New Roman"/>
        </w:rPr>
        <w:t xml:space="preserve"> (Honolulu: University of Hawai’i Press, 2013), 91.</w:t>
      </w:r>
    </w:p>
  </w:footnote>
  <w:footnote w:id="106">
    <w:p w14:paraId="62C4A8DE" w14:textId="77777777" w:rsidR="00BC3EC4" w:rsidRPr="00AC639C" w:rsidRDefault="00BC3EC4" w:rsidP="00961436">
      <w:pPr>
        <w:pStyle w:val="FootnoteText"/>
        <w:rPr>
          <w:rFonts w:ascii="Times New Roman" w:hAnsi="Times New Roman" w:cs="Times New Roman"/>
        </w:rPr>
      </w:pPr>
      <w:r w:rsidRPr="00AC639C">
        <w:rPr>
          <w:rStyle w:val="FootnoteReference"/>
          <w:rFonts w:ascii="Times New Roman" w:hAnsi="Times New Roman" w:cs="Times New Roman"/>
        </w:rPr>
        <w:footnoteRef/>
      </w:r>
      <w:r w:rsidRPr="00AC639C">
        <w:rPr>
          <w:rFonts w:ascii="Times New Roman" w:hAnsi="Times New Roman" w:cs="Times New Roman"/>
        </w:rPr>
        <w:t xml:space="preserve"> Ibid., 96.</w:t>
      </w:r>
    </w:p>
  </w:footnote>
  <w:footnote w:id="107">
    <w:p w14:paraId="2D8F3D6B" w14:textId="77777777" w:rsidR="00BC3EC4" w:rsidRPr="00AC639C" w:rsidRDefault="00BC3EC4" w:rsidP="00961436">
      <w:pPr>
        <w:pStyle w:val="FootnoteText"/>
        <w:rPr>
          <w:rFonts w:ascii="Times New Roman" w:hAnsi="Times New Roman" w:cs="Times New Roman"/>
        </w:rPr>
      </w:pPr>
      <w:r w:rsidRPr="00AC639C">
        <w:rPr>
          <w:rStyle w:val="FootnoteReference"/>
          <w:rFonts w:ascii="Times New Roman" w:hAnsi="Times New Roman" w:cs="Times New Roman"/>
        </w:rPr>
        <w:footnoteRef/>
      </w:r>
      <w:r w:rsidRPr="00AC639C">
        <w:rPr>
          <w:rFonts w:ascii="Times New Roman" w:hAnsi="Times New Roman" w:cs="Times New Roman"/>
        </w:rPr>
        <w:t xml:space="preserve"> Peter H. Lee, </w:t>
      </w:r>
      <w:r w:rsidRPr="00AC639C">
        <w:rPr>
          <w:rFonts w:ascii="Times New Roman" w:hAnsi="Times New Roman" w:cs="Times New Roman"/>
          <w:i/>
        </w:rPr>
        <w:t>Anthology of Korean Literature: From Early Time to the Nineteenth Century</w:t>
      </w:r>
      <w:r w:rsidRPr="00AC639C">
        <w:rPr>
          <w:rFonts w:ascii="Times New Roman" w:hAnsi="Times New Roman" w:cs="Times New Roman"/>
        </w:rPr>
        <w:t xml:space="preserve"> (Honolulu: University of Hawai’i Press, 1981), 252.</w:t>
      </w:r>
    </w:p>
  </w:footnote>
  <w:footnote w:id="108">
    <w:p w14:paraId="6B33F382" w14:textId="77777777" w:rsidR="00BC3EC4" w:rsidRPr="00AC639C" w:rsidRDefault="00BC3EC4" w:rsidP="00961436">
      <w:pPr>
        <w:pStyle w:val="FootnoteText"/>
        <w:rPr>
          <w:rFonts w:ascii="Times New Roman" w:hAnsi="Times New Roman" w:cs="Times New Roman"/>
        </w:rPr>
      </w:pPr>
      <w:r w:rsidRPr="00AC639C">
        <w:rPr>
          <w:rStyle w:val="FootnoteReference"/>
          <w:rFonts w:ascii="Times New Roman" w:hAnsi="Times New Roman" w:cs="Times New Roman"/>
        </w:rPr>
        <w:footnoteRef/>
      </w:r>
      <w:r w:rsidRPr="00AC639C">
        <w:rPr>
          <w:rFonts w:ascii="Times New Roman" w:hAnsi="Times New Roman" w:cs="Times New Roman"/>
        </w:rPr>
        <w:t xml:space="preserve"> E. Taylor Atkins, “The Dual Career of ‘</w:t>
      </w:r>
      <w:proofErr w:type="spellStart"/>
      <w:r w:rsidRPr="00AC639C">
        <w:rPr>
          <w:rFonts w:ascii="Times New Roman" w:hAnsi="Times New Roman" w:cs="Times New Roman"/>
        </w:rPr>
        <w:t>Arirang</w:t>
      </w:r>
      <w:proofErr w:type="spellEnd"/>
      <w:r w:rsidRPr="00AC639C">
        <w:rPr>
          <w:rFonts w:ascii="Times New Roman" w:hAnsi="Times New Roman" w:cs="Times New Roman"/>
        </w:rPr>
        <w:t xml:space="preserve">’: The Korean Resistance Anthem that Became a Japanese Pop Hit,” in </w:t>
      </w:r>
      <w:r w:rsidRPr="00AC639C">
        <w:rPr>
          <w:rFonts w:ascii="Times New Roman" w:hAnsi="Times New Roman" w:cs="Times New Roman"/>
          <w:i/>
        </w:rPr>
        <w:t>The Journal of Asian Studies</w:t>
      </w:r>
      <w:r w:rsidRPr="00AC639C">
        <w:rPr>
          <w:rFonts w:ascii="Times New Roman" w:hAnsi="Times New Roman" w:cs="Times New Roman"/>
        </w:rPr>
        <w:t xml:space="preserve"> 66, no. 3 (Aug. 2007): 653.</w:t>
      </w:r>
    </w:p>
  </w:footnote>
  <w:footnote w:id="109">
    <w:p w14:paraId="4311A090" w14:textId="77777777" w:rsidR="00BC3EC4" w:rsidRPr="00AC639C" w:rsidRDefault="00BC3EC4" w:rsidP="00961436">
      <w:pPr>
        <w:pStyle w:val="FootnoteText"/>
        <w:rPr>
          <w:rFonts w:ascii="Times New Roman" w:hAnsi="Times New Roman" w:cs="Times New Roman"/>
        </w:rPr>
      </w:pPr>
      <w:r w:rsidRPr="00AC639C">
        <w:rPr>
          <w:rStyle w:val="FootnoteReference"/>
          <w:rFonts w:ascii="Times New Roman" w:hAnsi="Times New Roman" w:cs="Times New Roman"/>
        </w:rPr>
        <w:footnoteRef/>
      </w:r>
      <w:r w:rsidRPr="00AC639C">
        <w:rPr>
          <w:rFonts w:ascii="Times New Roman" w:hAnsi="Times New Roman" w:cs="Times New Roman"/>
        </w:rPr>
        <w:t xml:space="preserve"> Peter H. Lee, </w:t>
      </w:r>
      <w:r w:rsidRPr="00AC639C">
        <w:rPr>
          <w:rFonts w:ascii="Times New Roman" w:hAnsi="Times New Roman" w:cs="Times New Roman"/>
          <w:i/>
        </w:rPr>
        <w:t>Anthology of Korean Literature</w:t>
      </w:r>
      <w:r w:rsidRPr="00AC639C">
        <w:rPr>
          <w:rFonts w:ascii="Times New Roman" w:hAnsi="Times New Roman" w:cs="Times New Roman"/>
        </w:rPr>
        <w:t xml:space="preserve"> 262.</w:t>
      </w:r>
    </w:p>
  </w:footnote>
  <w:footnote w:id="110">
    <w:p w14:paraId="1649822A" w14:textId="77777777" w:rsidR="00BC3EC4" w:rsidRPr="00AC639C" w:rsidRDefault="00BC3EC4" w:rsidP="00961436">
      <w:pPr>
        <w:pStyle w:val="FootnoteText"/>
        <w:rPr>
          <w:rFonts w:ascii="Times New Roman" w:hAnsi="Times New Roman" w:cs="Times New Roman"/>
        </w:rPr>
      </w:pPr>
      <w:r w:rsidRPr="00AC639C">
        <w:rPr>
          <w:rStyle w:val="FootnoteReference"/>
          <w:rFonts w:ascii="Times New Roman" w:hAnsi="Times New Roman" w:cs="Times New Roman"/>
        </w:rPr>
        <w:footnoteRef/>
      </w:r>
      <w:r w:rsidRPr="00AC639C">
        <w:rPr>
          <w:rFonts w:ascii="Times New Roman" w:hAnsi="Times New Roman" w:cs="Times New Roman"/>
        </w:rPr>
        <w:t xml:space="preserve"> Michael E. Robinson, </w:t>
      </w:r>
      <w:r w:rsidRPr="00AC639C">
        <w:rPr>
          <w:rFonts w:ascii="Times New Roman" w:hAnsi="Times New Roman" w:cs="Times New Roman"/>
          <w:i/>
        </w:rPr>
        <w:t>Korea’s Twentieth Century Odyssey</w:t>
      </w:r>
      <w:r w:rsidRPr="00AC639C">
        <w:rPr>
          <w:rFonts w:ascii="Times New Roman" w:hAnsi="Times New Roman" w:cs="Times New Roman"/>
        </w:rPr>
        <w:t xml:space="preserve"> 30.</w:t>
      </w:r>
    </w:p>
  </w:footnote>
  <w:footnote w:id="111">
    <w:p w14:paraId="1D135489" w14:textId="77777777" w:rsidR="00BC3EC4" w:rsidRPr="00AC639C" w:rsidRDefault="00BC3EC4" w:rsidP="00961436">
      <w:pPr>
        <w:pStyle w:val="FootnoteText"/>
        <w:rPr>
          <w:rFonts w:ascii="Times New Roman" w:hAnsi="Times New Roman" w:cs="Times New Roman"/>
        </w:rPr>
      </w:pPr>
      <w:r w:rsidRPr="00AC639C">
        <w:rPr>
          <w:rStyle w:val="FootnoteReference"/>
          <w:rFonts w:ascii="Times New Roman" w:hAnsi="Times New Roman" w:cs="Times New Roman"/>
        </w:rPr>
        <w:footnoteRef/>
      </w:r>
      <w:r w:rsidRPr="00AC639C">
        <w:rPr>
          <w:rFonts w:ascii="Times New Roman" w:hAnsi="Times New Roman" w:cs="Times New Roman"/>
        </w:rPr>
        <w:t xml:space="preserve"> E. Taylor Atkins, </w:t>
      </w:r>
      <w:r w:rsidRPr="00AC639C">
        <w:rPr>
          <w:rFonts w:ascii="Times New Roman" w:hAnsi="Times New Roman" w:cs="Times New Roman"/>
          <w:i/>
        </w:rPr>
        <w:t>Primitive Selves</w:t>
      </w:r>
      <w:r w:rsidRPr="00AC639C">
        <w:rPr>
          <w:rFonts w:ascii="Times New Roman" w:hAnsi="Times New Roman" w:cs="Times New Roman"/>
        </w:rPr>
        <w:t xml:space="preserve"> 95.</w:t>
      </w:r>
    </w:p>
  </w:footnote>
  <w:footnote w:id="112">
    <w:p w14:paraId="099EC5FE" w14:textId="77777777" w:rsidR="00BC3EC4" w:rsidRPr="00AC639C" w:rsidRDefault="00BC3EC4" w:rsidP="00961436">
      <w:pPr>
        <w:pStyle w:val="FootnoteText"/>
        <w:rPr>
          <w:rFonts w:ascii="Times New Roman" w:hAnsi="Times New Roman" w:cs="Times New Roman"/>
        </w:rPr>
      </w:pPr>
      <w:r w:rsidRPr="00AC639C">
        <w:rPr>
          <w:rStyle w:val="FootnoteReference"/>
          <w:rFonts w:ascii="Times New Roman" w:hAnsi="Times New Roman" w:cs="Times New Roman"/>
        </w:rPr>
        <w:footnoteRef/>
      </w:r>
      <w:r w:rsidRPr="00AC639C">
        <w:rPr>
          <w:rFonts w:ascii="Times New Roman" w:hAnsi="Times New Roman" w:cs="Times New Roman"/>
        </w:rPr>
        <w:t xml:space="preserve"> Ibid., 133.</w:t>
      </w:r>
    </w:p>
  </w:footnote>
  <w:footnote w:id="113">
    <w:p w14:paraId="2B1E59EC" w14:textId="77777777" w:rsidR="00BC3EC4" w:rsidRPr="00AC639C" w:rsidRDefault="00BC3EC4" w:rsidP="00961436">
      <w:pPr>
        <w:pStyle w:val="FootnoteText"/>
        <w:rPr>
          <w:rFonts w:ascii="Times New Roman" w:hAnsi="Times New Roman" w:cs="Times New Roman"/>
        </w:rPr>
      </w:pPr>
      <w:r w:rsidRPr="00AC639C">
        <w:rPr>
          <w:rStyle w:val="FootnoteReference"/>
          <w:rFonts w:ascii="Times New Roman" w:hAnsi="Times New Roman" w:cs="Times New Roman"/>
        </w:rPr>
        <w:footnoteRef/>
      </w:r>
      <w:r w:rsidRPr="00AC639C">
        <w:rPr>
          <w:rFonts w:ascii="Times New Roman" w:hAnsi="Times New Roman" w:cs="Times New Roman"/>
        </w:rPr>
        <w:t xml:space="preserve"> Roald </w:t>
      </w:r>
      <w:proofErr w:type="spellStart"/>
      <w:r w:rsidRPr="00AC639C">
        <w:rPr>
          <w:rFonts w:ascii="Times New Roman" w:hAnsi="Times New Roman" w:cs="Times New Roman"/>
        </w:rPr>
        <w:t>Maliangkay</w:t>
      </w:r>
      <w:proofErr w:type="spellEnd"/>
      <w:r w:rsidRPr="00AC639C">
        <w:rPr>
          <w:rFonts w:ascii="Times New Roman" w:hAnsi="Times New Roman" w:cs="Times New Roman"/>
        </w:rPr>
        <w:t>, “The Revival of Folksongs in South Korea: The Case of ‘</w:t>
      </w:r>
      <w:proofErr w:type="spellStart"/>
      <w:r w:rsidRPr="00AC639C">
        <w:rPr>
          <w:rFonts w:ascii="Times New Roman" w:hAnsi="Times New Roman" w:cs="Times New Roman"/>
        </w:rPr>
        <w:t>Tondollari</w:t>
      </w:r>
      <w:proofErr w:type="spellEnd"/>
      <w:r w:rsidRPr="00AC639C">
        <w:rPr>
          <w:rFonts w:ascii="Times New Roman" w:hAnsi="Times New Roman" w:cs="Times New Roman"/>
        </w:rPr>
        <w:t xml:space="preserve">’,” in </w:t>
      </w:r>
      <w:r w:rsidRPr="00AC639C">
        <w:rPr>
          <w:rFonts w:ascii="Times New Roman" w:hAnsi="Times New Roman" w:cs="Times New Roman"/>
          <w:i/>
        </w:rPr>
        <w:t>Asian Folklore Studies</w:t>
      </w:r>
      <w:r w:rsidRPr="00AC639C">
        <w:rPr>
          <w:rFonts w:ascii="Times New Roman" w:hAnsi="Times New Roman" w:cs="Times New Roman"/>
        </w:rPr>
        <w:t xml:space="preserve"> 61 no. 2 (2002): 228.</w:t>
      </w:r>
    </w:p>
  </w:footnote>
  <w:footnote w:id="114">
    <w:p w14:paraId="466C7280" w14:textId="77777777" w:rsidR="00BC3EC4" w:rsidRPr="00AC639C" w:rsidRDefault="00BC3EC4" w:rsidP="00961436">
      <w:pPr>
        <w:pStyle w:val="FootnoteText"/>
        <w:rPr>
          <w:rFonts w:ascii="Times New Roman" w:hAnsi="Times New Roman" w:cs="Times New Roman"/>
        </w:rPr>
      </w:pPr>
      <w:r w:rsidRPr="00AC639C">
        <w:rPr>
          <w:rStyle w:val="FootnoteReference"/>
          <w:rFonts w:ascii="Times New Roman" w:hAnsi="Times New Roman" w:cs="Times New Roman"/>
        </w:rPr>
        <w:footnoteRef/>
      </w:r>
      <w:r w:rsidRPr="00AC639C">
        <w:rPr>
          <w:rFonts w:ascii="Times New Roman" w:hAnsi="Times New Roman" w:cs="Times New Roman"/>
        </w:rPr>
        <w:t xml:space="preserve"> E. Taylor Atkins, “The Dual Career of ‘</w:t>
      </w:r>
      <w:proofErr w:type="spellStart"/>
      <w:r w:rsidRPr="00AC639C">
        <w:rPr>
          <w:rFonts w:ascii="Times New Roman" w:hAnsi="Times New Roman" w:cs="Times New Roman"/>
        </w:rPr>
        <w:t>Arirang</w:t>
      </w:r>
      <w:proofErr w:type="spellEnd"/>
      <w:r w:rsidRPr="00AC639C">
        <w:rPr>
          <w:rFonts w:ascii="Times New Roman" w:hAnsi="Times New Roman" w:cs="Times New Roman"/>
        </w:rPr>
        <w:t>’” 656.</w:t>
      </w:r>
    </w:p>
  </w:footnote>
  <w:footnote w:id="115">
    <w:p w14:paraId="49716214" w14:textId="77777777" w:rsidR="00BC3EC4" w:rsidRPr="00AC639C" w:rsidRDefault="00BC3EC4" w:rsidP="00961436">
      <w:pPr>
        <w:pStyle w:val="FootnoteText"/>
        <w:rPr>
          <w:rFonts w:ascii="Times New Roman" w:hAnsi="Times New Roman" w:cs="Times New Roman"/>
        </w:rPr>
      </w:pPr>
      <w:r w:rsidRPr="00AC639C">
        <w:rPr>
          <w:rStyle w:val="FootnoteReference"/>
          <w:rFonts w:ascii="Times New Roman" w:hAnsi="Times New Roman" w:cs="Times New Roman"/>
        </w:rPr>
        <w:footnoteRef/>
      </w:r>
      <w:r w:rsidRPr="00AC639C">
        <w:rPr>
          <w:rFonts w:ascii="Times New Roman" w:hAnsi="Times New Roman" w:cs="Times New Roman"/>
        </w:rPr>
        <w:t xml:space="preserve"> Ibid.</w:t>
      </w:r>
    </w:p>
  </w:footnote>
  <w:footnote w:id="116">
    <w:p w14:paraId="1DCC8158" w14:textId="77777777" w:rsidR="00BC3EC4" w:rsidRPr="00AC639C" w:rsidRDefault="00BC3EC4" w:rsidP="00961436">
      <w:pPr>
        <w:pStyle w:val="FootnoteText"/>
        <w:rPr>
          <w:rFonts w:ascii="Times New Roman" w:hAnsi="Times New Roman" w:cs="Times New Roman"/>
        </w:rPr>
      </w:pPr>
      <w:r w:rsidRPr="00AC639C">
        <w:rPr>
          <w:rStyle w:val="FootnoteReference"/>
          <w:rFonts w:ascii="Times New Roman" w:hAnsi="Times New Roman" w:cs="Times New Roman"/>
        </w:rPr>
        <w:footnoteRef/>
      </w:r>
      <w:r w:rsidRPr="00AC639C">
        <w:rPr>
          <w:rFonts w:ascii="Times New Roman" w:hAnsi="Times New Roman" w:cs="Times New Roman"/>
        </w:rPr>
        <w:t xml:space="preserve"> Ibid., 673.</w:t>
      </w:r>
    </w:p>
  </w:footnote>
  <w:footnote w:id="117">
    <w:p w14:paraId="498ACBE9" w14:textId="77777777" w:rsidR="00BC3EC4" w:rsidRPr="00AC639C" w:rsidRDefault="00BC3EC4" w:rsidP="00961436">
      <w:pPr>
        <w:pStyle w:val="FootnoteText"/>
        <w:rPr>
          <w:rFonts w:ascii="Times New Roman" w:hAnsi="Times New Roman" w:cs="Times New Roman"/>
        </w:rPr>
      </w:pPr>
      <w:r w:rsidRPr="00AC639C">
        <w:rPr>
          <w:rStyle w:val="FootnoteReference"/>
          <w:rFonts w:ascii="Times New Roman" w:hAnsi="Times New Roman" w:cs="Times New Roman"/>
        </w:rPr>
        <w:footnoteRef/>
      </w:r>
      <w:r w:rsidRPr="00AC639C">
        <w:rPr>
          <w:rFonts w:ascii="Times New Roman" w:hAnsi="Times New Roman" w:cs="Times New Roman"/>
        </w:rPr>
        <w:t xml:space="preserve"> Ibid., 657.</w:t>
      </w:r>
    </w:p>
  </w:footnote>
  <w:footnote w:id="118">
    <w:p w14:paraId="6CBD734C" w14:textId="77777777" w:rsidR="00BC3EC4" w:rsidRPr="00AC639C" w:rsidRDefault="00BC3EC4" w:rsidP="00961436">
      <w:pPr>
        <w:pStyle w:val="FootnoteText"/>
        <w:rPr>
          <w:rFonts w:ascii="Times New Roman" w:hAnsi="Times New Roman" w:cs="Times New Roman"/>
        </w:rPr>
      </w:pPr>
      <w:r w:rsidRPr="00AC639C">
        <w:rPr>
          <w:rStyle w:val="FootnoteReference"/>
          <w:rFonts w:ascii="Times New Roman" w:hAnsi="Times New Roman" w:cs="Times New Roman"/>
        </w:rPr>
        <w:footnoteRef/>
      </w:r>
      <w:r w:rsidRPr="00AC639C">
        <w:rPr>
          <w:rFonts w:ascii="Times New Roman" w:hAnsi="Times New Roman" w:cs="Times New Roman"/>
        </w:rPr>
        <w:t xml:space="preserve"> Ibid., 657.</w:t>
      </w:r>
    </w:p>
  </w:footnote>
  <w:footnote w:id="119">
    <w:p w14:paraId="3AFD19A7" w14:textId="1AB5440E" w:rsidR="00BC3EC4" w:rsidRPr="00AC639C" w:rsidRDefault="00BC3EC4" w:rsidP="00961436">
      <w:pPr>
        <w:pStyle w:val="FootnoteText"/>
        <w:rPr>
          <w:rFonts w:ascii="Times New Roman" w:hAnsi="Times New Roman" w:cs="Times New Roman"/>
        </w:rPr>
      </w:pPr>
      <w:r w:rsidRPr="00AC639C">
        <w:rPr>
          <w:rStyle w:val="FootnoteReference"/>
          <w:rFonts w:ascii="Times New Roman" w:hAnsi="Times New Roman" w:cs="Times New Roman"/>
        </w:rPr>
        <w:footnoteRef/>
      </w:r>
      <w:r w:rsidRPr="00AC639C">
        <w:rPr>
          <w:rFonts w:ascii="Times New Roman" w:hAnsi="Times New Roman" w:cs="Times New Roman"/>
        </w:rPr>
        <w:t xml:space="preserve"> Shepard B. Clough, </w:t>
      </w:r>
      <w:r>
        <w:rPr>
          <w:rFonts w:ascii="Times New Roman" w:hAnsi="Times New Roman" w:cs="Times New Roman"/>
          <w:i/>
        </w:rPr>
        <w:t xml:space="preserve">A History of the Flemish Movement </w:t>
      </w:r>
      <w:proofErr w:type="gramStart"/>
      <w:r>
        <w:rPr>
          <w:rFonts w:ascii="Times New Roman" w:hAnsi="Times New Roman" w:cs="Times New Roman"/>
          <w:i/>
        </w:rPr>
        <w:t xml:space="preserve">in </w:t>
      </w:r>
      <w:r w:rsidRPr="00AC639C">
        <w:rPr>
          <w:rFonts w:ascii="Times New Roman" w:hAnsi="Times New Roman" w:cs="Times New Roman"/>
        </w:rPr>
        <w:t xml:space="preserve"> </w:t>
      </w:r>
      <w:r w:rsidRPr="00AC639C">
        <w:rPr>
          <w:rFonts w:ascii="Times New Roman" w:hAnsi="Times New Roman" w:cs="Times New Roman"/>
          <w:i/>
        </w:rPr>
        <w:t>Belgium</w:t>
      </w:r>
      <w:proofErr w:type="gramEnd"/>
      <w:r w:rsidRPr="00AC639C">
        <w:rPr>
          <w:rFonts w:ascii="Times New Roman" w:hAnsi="Times New Roman" w:cs="Times New Roman"/>
          <w:i/>
        </w:rPr>
        <w:t>: A Study in Nationalism</w:t>
      </w:r>
      <w:r>
        <w:rPr>
          <w:rFonts w:ascii="Times New Roman" w:hAnsi="Times New Roman" w:cs="Times New Roman"/>
        </w:rPr>
        <w:t xml:space="preserve"> (New York: Octagon Books</w:t>
      </w:r>
      <w:r w:rsidRPr="00AC639C">
        <w:rPr>
          <w:rFonts w:ascii="Times New Roman" w:hAnsi="Times New Roman" w:cs="Times New Roman"/>
        </w:rPr>
        <w:t>, Inc., 1930), 49-50.</w:t>
      </w:r>
    </w:p>
  </w:footnote>
  <w:footnote w:id="120">
    <w:p w14:paraId="1ACDFD01" w14:textId="77777777" w:rsidR="00BC3EC4" w:rsidRPr="00AC639C" w:rsidRDefault="00BC3EC4" w:rsidP="00961436">
      <w:pPr>
        <w:pStyle w:val="FootnoteText"/>
        <w:rPr>
          <w:rFonts w:ascii="Times New Roman" w:hAnsi="Times New Roman" w:cs="Times New Roman"/>
        </w:rPr>
      </w:pPr>
      <w:r w:rsidRPr="00AC639C">
        <w:rPr>
          <w:rStyle w:val="FootnoteReference"/>
          <w:rFonts w:ascii="Times New Roman" w:hAnsi="Times New Roman" w:cs="Times New Roman"/>
        </w:rPr>
        <w:footnoteRef/>
      </w:r>
      <w:r w:rsidRPr="00AC639C">
        <w:rPr>
          <w:rFonts w:ascii="Times New Roman" w:hAnsi="Times New Roman" w:cs="Times New Roman"/>
        </w:rPr>
        <w:t xml:space="preserve"> Ibid., 67.</w:t>
      </w:r>
    </w:p>
  </w:footnote>
  <w:footnote w:id="121">
    <w:p w14:paraId="6B6FC0F7" w14:textId="77777777" w:rsidR="00BC3EC4" w:rsidRPr="00AC639C" w:rsidRDefault="00BC3EC4" w:rsidP="00961436">
      <w:pPr>
        <w:pStyle w:val="FootnoteText"/>
        <w:rPr>
          <w:rFonts w:ascii="Times New Roman" w:hAnsi="Times New Roman" w:cs="Times New Roman"/>
        </w:rPr>
      </w:pPr>
      <w:r w:rsidRPr="00AC639C">
        <w:rPr>
          <w:rStyle w:val="FootnoteReference"/>
          <w:rFonts w:ascii="Times New Roman" w:hAnsi="Times New Roman" w:cs="Times New Roman"/>
        </w:rPr>
        <w:footnoteRef/>
      </w:r>
      <w:r w:rsidRPr="00AC639C">
        <w:rPr>
          <w:rFonts w:ascii="Times New Roman" w:hAnsi="Times New Roman" w:cs="Times New Roman"/>
        </w:rPr>
        <w:t xml:space="preserve"> Phillip M. </w:t>
      </w:r>
      <w:proofErr w:type="spellStart"/>
      <w:r w:rsidRPr="00AC639C">
        <w:rPr>
          <w:rFonts w:ascii="Times New Roman" w:hAnsi="Times New Roman" w:cs="Times New Roman"/>
        </w:rPr>
        <w:t>Blommaert</w:t>
      </w:r>
      <w:proofErr w:type="spellEnd"/>
      <w:r w:rsidRPr="00AC639C">
        <w:rPr>
          <w:rFonts w:ascii="Times New Roman" w:hAnsi="Times New Roman" w:cs="Times New Roman"/>
        </w:rPr>
        <w:t xml:space="preserve">, “Observations on the Neglect of the Dutch </w:t>
      </w:r>
      <w:proofErr w:type="spellStart"/>
      <w:r w:rsidRPr="00AC639C">
        <w:rPr>
          <w:rFonts w:ascii="Times New Roman" w:hAnsi="Times New Roman" w:cs="Times New Roman"/>
        </w:rPr>
        <w:t>Langauge</w:t>
      </w:r>
      <w:proofErr w:type="spellEnd"/>
      <w:r w:rsidRPr="00AC639C">
        <w:rPr>
          <w:rFonts w:ascii="Times New Roman" w:hAnsi="Times New Roman" w:cs="Times New Roman"/>
        </w:rPr>
        <w:t xml:space="preserve">,” in </w:t>
      </w:r>
      <w:r w:rsidRPr="00AC639C">
        <w:rPr>
          <w:rFonts w:ascii="Times New Roman" w:hAnsi="Times New Roman" w:cs="Times New Roman"/>
          <w:i/>
        </w:rPr>
        <w:t>The Flemish Movement: A Documentary History</w:t>
      </w:r>
      <w:r w:rsidRPr="00AC639C">
        <w:rPr>
          <w:rFonts w:ascii="Times New Roman" w:hAnsi="Times New Roman" w:cs="Times New Roman"/>
        </w:rPr>
        <w:t xml:space="preserve">, ed. Theo </w:t>
      </w:r>
      <w:proofErr w:type="spellStart"/>
      <w:r w:rsidRPr="00AC639C">
        <w:rPr>
          <w:rFonts w:ascii="Times New Roman" w:hAnsi="Times New Roman" w:cs="Times New Roman"/>
        </w:rPr>
        <w:t>Hermans</w:t>
      </w:r>
      <w:proofErr w:type="spellEnd"/>
      <w:r w:rsidRPr="00AC639C">
        <w:rPr>
          <w:rFonts w:ascii="Times New Roman" w:hAnsi="Times New Roman" w:cs="Times New Roman"/>
        </w:rPr>
        <w:t xml:space="preserve"> co-ed. Louis </w:t>
      </w:r>
      <w:proofErr w:type="spellStart"/>
      <w:r w:rsidRPr="00AC639C">
        <w:rPr>
          <w:rFonts w:ascii="Times New Roman" w:hAnsi="Times New Roman" w:cs="Times New Roman"/>
        </w:rPr>
        <w:t>Vos</w:t>
      </w:r>
      <w:proofErr w:type="spellEnd"/>
      <w:r w:rsidRPr="00AC639C">
        <w:rPr>
          <w:rFonts w:ascii="Times New Roman" w:hAnsi="Times New Roman" w:cs="Times New Roman"/>
        </w:rPr>
        <w:t xml:space="preserve"> and Lode </w:t>
      </w:r>
      <w:proofErr w:type="spellStart"/>
      <w:r w:rsidRPr="00AC639C">
        <w:rPr>
          <w:rFonts w:ascii="Times New Roman" w:hAnsi="Times New Roman" w:cs="Times New Roman"/>
        </w:rPr>
        <w:t>Wils</w:t>
      </w:r>
      <w:proofErr w:type="spellEnd"/>
      <w:r w:rsidRPr="00AC639C">
        <w:rPr>
          <w:rFonts w:ascii="Times New Roman" w:hAnsi="Times New Roman" w:cs="Times New Roman"/>
        </w:rPr>
        <w:t xml:space="preserve"> (London: The </w:t>
      </w:r>
      <w:proofErr w:type="spellStart"/>
      <w:r w:rsidRPr="00AC639C">
        <w:rPr>
          <w:rFonts w:ascii="Times New Roman" w:hAnsi="Times New Roman" w:cs="Times New Roman"/>
        </w:rPr>
        <w:t>Athlone</w:t>
      </w:r>
      <w:proofErr w:type="spellEnd"/>
      <w:r w:rsidRPr="00AC639C">
        <w:rPr>
          <w:rFonts w:ascii="Times New Roman" w:hAnsi="Times New Roman" w:cs="Times New Roman"/>
        </w:rPr>
        <w:t xml:space="preserve"> Press, 1992), 75.</w:t>
      </w:r>
    </w:p>
  </w:footnote>
  <w:footnote w:id="122">
    <w:p w14:paraId="394AA703" w14:textId="77777777" w:rsidR="00BC3EC4" w:rsidRPr="00AC639C" w:rsidRDefault="00BC3EC4" w:rsidP="00961436">
      <w:pPr>
        <w:pStyle w:val="FootnoteText"/>
        <w:rPr>
          <w:rFonts w:ascii="Times New Roman" w:hAnsi="Times New Roman" w:cs="Times New Roman"/>
        </w:rPr>
      </w:pPr>
      <w:r w:rsidRPr="00AC639C">
        <w:rPr>
          <w:rStyle w:val="FootnoteReference"/>
          <w:rFonts w:ascii="Times New Roman" w:hAnsi="Times New Roman" w:cs="Times New Roman"/>
        </w:rPr>
        <w:footnoteRef/>
      </w:r>
      <w:r w:rsidRPr="00AC639C">
        <w:rPr>
          <w:rFonts w:ascii="Times New Roman" w:hAnsi="Times New Roman" w:cs="Times New Roman"/>
        </w:rPr>
        <w:t xml:space="preserve"> Jan </w:t>
      </w:r>
      <w:proofErr w:type="spellStart"/>
      <w:r w:rsidRPr="00AC639C">
        <w:rPr>
          <w:rFonts w:ascii="Times New Roman" w:hAnsi="Times New Roman" w:cs="Times New Roman"/>
        </w:rPr>
        <w:t>Frans</w:t>
      </w:r>
      <w:proofErr w:type="spellEnd"/>
      <w:r w:rsidRPr="00AC639C">
        <w:rPr>
          <w:rFonts w:ascii="Times New Roman" w:hAnsi="Times New Roman" w:cs="Times New Roman"/>
        </w:rPr>
        <w:t xml:space="preserve"> Willems, “’Preface’ to </w:t>
      </w:r>
      <w:r w:rsidRPr="00AC639C">
        <w:rPr>
          <w:rFonts w:ascii="Times New Roman" w:hAnsi="Times New Roman" w:cs="Times New Roman"/>
          <w:i/>
        </w:rPr>
        <w:t>Reynard the Fox</w:t>
      </w:r>
      <w:r w:rsidRPr="00AC639C">
        <w:rPr>
          <w:rFonts w:ascii="Times New Roman" w:hAnsi="Times New Roman" w:cs="Times New Roman"/>
        </w:rPr>
        <w:t xml:space="preserve">” in </w:t>
      </w:r>
      <w:r w:rsidRPr="00AC639C">
        <w:rPr>
          <w:rFonts w:ascii="Times New Roman" w:hAnsi="Times New Roman" w:cs="Times New Roman"/>
          <w:i/>
        </w:rPr>
        <w:t>The Flemish Movement: A Documentary History</w:t>
      </w:r>
      <w:r w:rsidRPr="00AC639C">
        <w:rPr>
          <w:rFonts w:ascii="Times New Roman" w:hAnsi="Times New Roman" w:cs="Times New Roman"/>
        </w:rPr>
        <w:t xml:space="preserve">, ed. ed. Theo </w:t>
      </w:r>
      <w:proofErr w:type="spellStart"/>
      <w:r w:rsidRPr="00AC639C">
        <w:rPr>
          <w:rFonts w:ascii="Times New Roman" w:hAnsi="Times New Roman" w:cs="Times New Roman"/>
        </w:rPr>
        <w:t>Hermans</w:t>
      </w:r>
      <w:proofErr w:type="spellEnd"/>
      <w:r w:rsidRPr="00AC639C">
        <w:rPr>
          <w:rFonts w:ascii="Times New Roman" w:hAnsi="Times New Roman" w:cs="Times New Roman"/>
        </w:rPr>
        <w:t xml:space="preserve"> co-ed. Louis </w:t>
      </w:r>
      <w:proofErr w:type="spellStart"/>
      <w:r w:rsidRPr="00AC639C">
        <w:rPr>
          <w:rFonts w:ascii="Times New Roman" w:hAnsi="Times New Roman" w:cs="Times New Roman"/>
        </w:rPr>
        <w:t>Vos</w:t>
      </w:r>
      <w:proofErr w:type="spellEnd"/>
      <w:r w:rsidRPr="00AC639C">
        <w:rPr>
          <w:rFonts w:ascii="Times New Roman" w:hAnsi="Times New Roman" w:cs="Times New Roman"/>
        </w:rPr>
        <w:t xml:space="preserve"> and Lode </w:t>
      </w:r>
      <w:proofErr w:type="spellStart"/>
      <w:r w:rsidRPr="00AC639C">
        <w:rPr>
          <w:rFonts w:ascii="Times New Roman" w:hAnsi="Times New Roman" w:cs="Times New Roman"/>
        </w:rPr>
        <w:t>Wils</w:t>
      </w:r>
      <w:proofErr w:type="spellEnd"/>
      <w:r w:rsidRPr="00AC639C">
        <w:rPr>
          <w:rFonts w:ascii="Times New Roman" w:hAnsi="Times New Roman" w:cs="Times New Roman"/>
        </w:rPr>
        <w:t xml:space="preserve"> (London: The </w:t>
      </w:r>
      <w:proofErr w:type="spellStart"/>
      <w:r w:rsidRPr="00AC639C">
        <w:rPr>
          <w:rFonts w:ascii="Times New Roman" w:hAnsi="Times New Roman" w:cs="Times New Roman"/>
        </w:rPr>
        <w:t>Athlone</w:t>
      </w:r>
      <w:proofErr w:type="spellEnd"/>
      <w:r w:rsidRPr="00AC639C">
        <w:rPr>
          <w:rFonts w:ascii="Times New Roman" w:hAnsi="Times New Roman" w:cs="Times New Roman"/>
        </w:rPr>
        <w:t xml:space="preserve"> Press, 1992), 85.</w:t>
      </w:r>
    </w:p>
  </w:footnote>
  <w:footnote w:id="123">
    <w:p w14:paraId="7FF5EB7D" w14:textId="726F4854" w:rsidR="00BC3EC4" w:rsidRPr="00AC639C" w:rsidRDefault="00BC3EC4" w:rsidP="00961436">
      <w:pPr>
        <w:pStyle w:val="FootnoteText"/>
        <w:rPr>
          <w:rFonts w:ascii="Times New Roman" w:hAnsi="Times New Roman" w:cs="Times New Roman"/>
        </w:rPr>
      </w:pPr>
      <w:r w:rsidRPr="00AC639C">
        <w:rPr>
          <w:rStyle w:val="FootnoteReference"/>
          <w:rFonts w:ascii="Times New Roman" w:hAnsi="Times New Roman" w:cs="Times New Roman"/>
        </w:rPr>
        <w:footnoteRef/>
      </w:r>
      <w:r>
        <w:rPr>
          <w:rFonts w:ascii="Times New Roman" w:hAnsi="Times New Roman" w:cs="Times New Roman"/>
        </w:rPr>
        <w:t xml:space="preserve"> Hendrik Conscience, “‘</w:t>
      </w:r>
      <w:r w:rsidRPr="00AC639C">
        <w:rPr>
          <w:rFonts w:ascii="Times New Roman" w:hAnsi="Times New Roman" w:cs="Times New Roman"/>
        </w:rPr>
        <w:t xml:space="preserve">Forward’ to </w:t>
      </w:r>
      <w:r w:rsidRPr="00AC639C">
        <w:rPr>
          <w:rFonts w:ascii="Times New Roman" w:hAnsi="Times New Roman" w:cs="Times New Roman"/>
          <w:i/>
        </w:rPr>
        <w:t>The Lion of Flanders</w:t>
      </w:r>
      <w:r w:rsidRPr="00AC639C">
        <w:rPr>
          <w:rFonts w:ascii="Times New Roman" w:hAnsi="Times New Roman" w:cs="Times New Roman"/>
        </w:rPr>
        <w:t xml:space="preserve">” in </w:t>
      </w:r>
      <w:r w:rsidRPr="00AC639C">
        <w:rPr>
          <w:rFonts w:ascii="Times New Roman" w:hAnsi="Times New Roman" w:cs="Times New Roman"/>
          <w:i/>
        </w:rPr>
        <w:t>The Flemish Movement: A Documentary History</w:t>
      </w:r>
      <w:r>
        <w:rPr>
          <w:rFonts w:ascii="Times New Roman" w:hAnsi="Times New Roman" w:cs="Times New Roman"/>
        </w:rPr>
        <w:t xml:space="preserve">, </w:t>
      </w:r>
      <w:r w:rsidRPr="00AC639C">
        <w:rPr>
          <w:rFonts w:ascii="Times New Roman" w:hAnsi="Times New Roman" w:cs="Times New Roman"/>
        </w:rPr>
        <w:t xml:space="preserve">ed. Theo </w:t>
      </w:r>
      <w:proofErr w:type="spellStart"/>
      <w:r w:rsidRPr="00AC639C">
        <w:rPr>
          <w:rFonts w:ascii="Times New Roman" w:hAnsi="Times New Roman" w:cs="Times New Roman"/>
        </w:rPr>
        <w:t>Hermans</w:t>
      </w:r>
      <w:proofErr w:type="spellEnd"/>
      <w:r w:rsidRPr="00AC639C">
        <w:rPr>
          <w:rFonts w:ascii="Times New Roman" w:hAnsi="Times New Roman" w:cs="Times New Roman"/>
        </w:rPr>
        <w:t xml:space="preserve"> co-ed. Louis </w:t>
      </w:r>
      <w:proofErr w:type="spellStart"/>
      <w:r w:rsidRPr="00AC639C">
        <w:rPr>
          <w:rFonts w:ascii="Times New Roman" w:hAnsi="Times New Roman" w:cs="Times New Roman"/>
        </w:rPr>
        <w:t>Vos</w:t>
      </w:r>
      <w:proofErr w:type="spellEnd"/>
      <w:r w:rsidRPr="00AC639C">
        <w:rPr>
          <w:rFonts w:ascii="Times New Roman" w:hAnsi="Times New Roman" w:cs="Times New Roman"/>
        </w:rPr>
        <w:t xml:space="preserve"> and Lode </w:t>
      </w:r>
      <w:proofErr w:type="spellStart"/>
      <w:r w:rsidRPr="00AC639C">
        <w:rPr>
          <w:rFonts w:ascii="Times New Roman" w:hAnsi="Times New Roman" w:cs="Times New Roman"/>
        </w:rPr>
        <w:t>Wils</w:t>
      </w:r>
      <w:proofErr w:type="spellEnd"/>
      <w:r w:rsidRPr="00AC639C">
        <w:rPr>
          <w:rFonts w:ascii="Times New Roman" w:hAnsi="Times New Roman" w:cs="Times New Roman"/>
        </w:rPr>
        <w:t xml:space="preserve"> (London: The </w:t>
      </w:r>
      <w:proofErr w:type="spellStart"/>
      <w:r w:rsidRPr="00AC639C">
        <w:rPr>
          <w:rFonts w:ascii="Times New Roman" w:hAnsi="Times New Roman" w:cs="Times New Roman"/>
        </w:rPr>
        <w:t>Athlone</w:t>
      </w:r>
      <w:proofErr w:type="spellEnd"/>
      <w:r w:rsidRPr="00AC639C">
        <w:rPr>
          <w:rFonts w:ascii="Times New Roman" w:hAnsi="Times New Roman" w:cs="Times New Roman"/>
        </w:rPr>
        <w:t xml:space="preserve"> Press, 1992), </w:t>
      </w:r>
      <w:r>
        <w:rPr>
          <w:rFonts w:ascii="Times New Roman" w:hAnsi="Times New Roman" w:cs="Times New Roman"/>
        </w:rPr>
        <w:t xml:space="preserve">89, </w:t>
      </w:r>
      <w:r w:rsidRPr="00AC639C">
        <w:rPr>
          <w:rFonts w:ascii="Times New Roman" w:hAnsi="Times New Roman" w:cs="Times New Roman"/>
        </w:rPr>
        <w:t>emphasis in original.</w:t>
      </w:r>
    </w:p>
  </w:footnote>
  <w:footnote w:id="124">
    <w:p w14:paraId="18580C9B" w14:textId="4027B443" w:rsidR="00BC3EC4" w:rsidRPr="00AC639C" w:rsidRDefault="00BC3EC4" w:rsidP="00961436">
      <w:pPr>
        <w:pStyle w:val="FootnoteText"/>
        <w:rPr>
          <w:rFonts w:ascii="Times New Roman" w:hAnsi="Times New Roman" w:cs="Times New Roman"/>
        </w:rPr>
      </w:pPr>
      <w:r w:rsidRPr="00AC639C">
        <w:rPr>
          <w:rStyle w:val="FootnoteReference"/>
          <w:rFonts w:ascii="Times New Roman" w:hAnsi="Times New Roman" w:cs="Times New Roman"/>
        </w:rPr>
        <w:footnoteRef/>
      </w:r>
      <w:r w:rsidRPr="00AC639C">
        <w:rPr>
          <w:rFonts w:ascii="Times New Roman" w:hAnsi="Times New Roman" w:cs="Times New Roman"/>
        </w:rPr>
        <w:t xml:space="preserve"> Chantal </w:t>
      </w:r>
      <w:proofErr w:type="spellStart"/>
      <w:r w:rsidRPr="00AC639C">
        <w:rPr>
          <w:rFonts w:ascii="Times New Roman" w:hAnsi="Times New Roman" w:cs="Times New Roman"/>
        </w:rPr>
        <w:t>Kesteloot</w:t>
      </w:r>
      <w:proofErr w:type="spellEnd"/>
      <w:r w:rsidRPr="00AC639C">
        <w:rPr>
          <w:rFonts w:ascii="Times New Roman" w:hAnsi="Times New Roman" w:cs="Times New Roman"/>
        </w:rPr>
        <w:t xml:space="preserve">, “Growth of the Walloon Movement” in </w:t>
      </w:r>
      <w:r w:rsidRPr="00AC639C">
        <w:rPr>
          <w:rFonts w:ascii="Times New Roman" w:hAnsi="Times New Roman" w:cs="Times New Roman"/>
          <w:i/>
        </w:rPr>
        <w:t>Nationalism in Belgium</w:t>
      </w:r>
      <w:r>
        <w:rPr>
          <w:rFonts w:ascii="Times New Roman" w:hAnsi="Times New Roman" w:cs="Times New Roman"/>
          <w:i/>
        </w:rPr>
        <w:t>: Shifting Identities, 1780-1995</w:t>
      </w:r>
      <w:r w:rsidRPr="00AC639C">
        <w:rPr>
          <w:rFonts w:ascii="Times New Roman" w:hAnsi="Times New Roman" w:cs="Times New Roman"/>
        </w:rPr>
        <w:t xml:space="preserve"> ed. </w:t>
      </w:r>
      <w:proofErr w:type="spellStart"/>
      <w:r w:rsidRPr="00AC639C">
        <w:rPr>
          <w:rFonts w:ascii="Times New Roman" w:hAnsi="Times New Roman" w:cs="Times New Roman"/>
        </w:rPr>
        <w:t>Kas</w:t>
      </w:r>
      <w:proofErr w:type="spellEnd"/>
      <w:r w:rsidRPr="00AC639C">
        <w:rPr>
          <w:rFonts w:ascii="Times New Roman" w:hAnsi="Times New Roman" w:cs="Times New Roman"/>
        </w:rPr>
        <w:t xml:space="preserve"> </w:t>
      </w:r>
      <w:proofErr w:type="spellStart"/>
      <w:r w:rsidRPr="00AC639C">
        <w:rPr>
          <w:rFonts w:ascii="Times New Roman" w:hAnsi="Times New Roman" w:cs="Times New Roman"/>
        </w:rPr>
        <w:t>Deprez</w:t>
      </w:r>
      <w:proofErr w:type="spellEnd"/>
      <w:r w:rsidRPr="00AC639C">
        <w:rPr>
          <w:rFonts w:ascii="Times New Roman" w:hAnsi="Times New Roman" w:cs="Times New Roman"/>
        </w:rPr>
        <w:t xml:space="preserve"> and Louis </w:t>
      </w:r>
      <w:proofErr w:type="spellStart"/>
      <w:r w:rsidRPr="00AC639C">
        <w:rPr>
          <w:rFonts w:ascii="Times New Roman" w:hAnsi="Times New Roman" w:cs="Times New Roman"/>
        </w:rPr>
        <w:t>Vos</w:t>
      </w:r>
      <w:proofErr w:type="spellEnd"/>
      <w:r w:rsidRPr="00AC639C">
        <w:rPr>
          <w:rFonts w:ascii="Times New Roman" w:hAnsi="Times New Roman" w:cs="Times New Roman"/>
        </w:rPr>
        <w:t xml:space="preserve"> (New York: St. Martin’s Press, 1998), 139.</w:t>
      </w:r>
    </w:p>
  </w:footnote>
  <w:footnote w:id="125">
    <w:p w14:paraId="04E842E5" w14:textId="77777777" w:rsidR="00BC3EC4" w:rsidRPr="00AC639C" w:rsidRDefault="00BC3EC4" w:rsidP="00961436">
      <w:pPr>
        <w:pStyle w:val="FootnoteText"/>
        <w:rPr>
          <w:rFonts w:ascii="Times New Roman" w:hAnsi="Times New Roman" w:cs="Times New Roman"/>
        </w:rPr>
      </w:pPr>
      <w:r w:rsidRPr="00AC639C">
        <w:rPr>
          <w:rStyle w:val="FootnoteReference"/>
          <w:rFonts w:ascii="Times New Roman" w:hAnsi="Times New Roman" w:cs="Times New Roman"/>
        </w:rPr>
        <w:footnoteRef/>
      </w:r>
      <w:r w:rsidRPr="00AC639C">
        <w:rPr>
          <w:rFonts w:ascii="Times New Roman" w:hAnsi="Times New Roman" w:cs="Times New Roman"/>
        </w:rPr>
        <w:t xml:space="preserve"> Ibid., 140.</w:t>
      </w:r>
    </w:p>
  </w:footnote>
  <w:footnote w:id="126">
    <w:p w14:paraId="5D5B0196" w14:textId="77777777" w:rsidR="00BC3EC4" w:rsidRPr="00AC639C" w:rsidRDefault="00BC3EC4" w:rsidP="00961436">
      <w:pPr>
        <w:pStyle w:val="FootnoteText"/>
        <w:rPr>
          <w:rFonts w:ascii="Times New Roman" w:hAnsi="Times New Roman" w:cs="Times New Roman"/>
        </w:rPr>
      </w:pPr>
      <w:r w:rsidRPr="00AC639C">
        <w:rPr>
          <w:rStyle w:val="FootnoteReference"/>
          <w:rFonts w:ascii="Times New Roman" w:hAnsi="Times New Roman" w:cs="Times New Roman"/>
        </w:rPr>
        <w:footnoteRef/>
      </w:r>
      <w:r w:rsidRPr="00AC639C">
        <w:rPr>
          <w:rFonts w:ascii="Times New Roman" w:hAnsi="Times New Roman" w:cs="Times New Roman"/>
        </w:rPr>
        <w:t xml:space="preserve"> Ibid., 146.</w:t>
      </w:r>
    </w:p>
  </w:footnote>
  <w:footnote w:id="127">
    <w:p w14:paraId="0758D2C1" w14:textId="77777777" w:rsidR="00BC3EC4" w:rsidRPr="00AC639C" w:rsidRDefault="00BC3EC4" w:rsidP="00961436">
      <w:pPr>
        <w:pStyle w:val="FootnoteText"/>
        <w:rPr>
          <w:rFonts w:ascii="Times New Roman" w:hAnsi="Times New Roman" w:cs="Times New Roman"/>
        </w:rPr>
      </w:pPr>
      <w:r w:rsidRPr="00AC639C">
        <w:rPr>
          <w:rStyle w:val="FootnoteReference"/>
          <w:rFonts w:ascii="Times New Roman" w:hAnsi="Times New Roman" w:cs="Times New Roman"/>
        </w:rPr>
        <w:footnoteRef/>
      </w:r>
      <w:r w:rsidRPr="00AC639C">
        <w:rPr>
          <w:rFonts w:ascii="Times New Roman" w:hAnsi="Times New Roman" w:cs="Times New Roman"/>
        </w:rPr>
        <w:t xml:space="preserve"> Jules </w:t>
      </w:r>
      <w:proofErr w:type="spellStart"/>
      <w:r w:rsidRPr="00AC639C">
        <w:rPr>
          <w:rFonts w:ascii="Times New Roman" w:hAnsi="Times New Roman" w:cs="Times New Roman"/>
        </w:rPr>
        <w:t>Destrée</w:t>
      </w:r>
      <w:proofErr w:type="spellEnd"/>
      <w:r w:rsidRPr="00AC639C">
        <w:rPr>
          <w:rFonts w:ascii="Times New Roman" w:hAnsi="Times New Roman" w:cs="Times New Roman"/>
        </w:rPr>
        <w:t xml:space="preserve">, “Open Letter to the King, Concerning the Separation of Flanders and Wallonia,” in </w:t>
      </w:r>
      <w:r w:rsidRPr="00AC639C">
        <w:rPr>
          <w:rFonts w:ascii="Times New Roman" w:hAnsi="Times New Roman" w:cs="Times New Roman"/>
          <w:i/>
        </w:rPr>
        <w:t>The Flemish Movement: A Documentary History 1780-1990</w:t>
      </w:r>
      <w:r w:rsidRPr="00AC639C">
        <w:rPr>
          <w:rFonts w:ascii="Times New Roman" w:hAnsi="Times New Roman" w:cs="Times New Roman"/>
        </w:rPr>
        <w:t xml:space="preserve">, ed. Theo </w:t>
      </w:r>
      <w:proofErr w:type="spellStart"/>
      <w:r w:rsidRPr="00AC639C">
        <w:rPr>
          <w:rFonts w:ascii="Times New Roman" w:hAnsi="Times New Roman" w:cs="Times New Roman"/>
        </w:rPr>
        <w:t>Hermans</w:t>
      </w:r>
      <w:proofErr w:type="spellEnd"/>
      <w:r w:rsidRPr="00AC639C">
        <w:rPr>
          <w:rFonts w:ascii="Times New Roman" w:hAnsi="Times New Roman" w:cs="Times New Roman"/>
        </w:rPr>
        <w:t xml:space="preserve"> co-eds. Louis </w:t>
      </w:r>
      <w:proofErr w:type="spellStart"/>
      <w:r w:rsidRPr="00AC639C">
        <w:rPr>
          <w:rFonts w:ascii="Times New Roman" w:hAnsi="Times New Roman" w:cs="Times New Roman"/>
        </w:rPr>
        <w:t>Vos</w:t>
      </w:r>
      <w:proofErr w:type="spellEnd"/>
      <w:r w:rsidRPr="00AC639C">
        <w:rPr>
          <w:rFonts w:ascii="Times New Roman" w:hAnsi="Times New Roman" w:cs="Times New Roman"/>
        </w:rPr>
        <w:t xml:space="preserve"> and Lode </w:t>
      </w:r>
      <w:proofErr w:type="spellStart"/>
      <w:r w:rsidRPr="00AC639C">
        <w:rPr>
          <w:rFonts w:ascii="Times New Roman" w:hAnsi="Times New Roman" w:cs="Times New Roman"/>
        </w:rPr>
        <w:t>Wils</w:t>
      </w:r>
      <w:proofErr w:type="spellEnd"/>
      <w:r w:rsidRPr="00AC639C">
        <w:rPr>
          <w:rFonts w:ascii="Times New Roman" w:hAnsi="Times New Roman" w:cs="Times New Roman"/>
        </w:rPr>
        <w:t xml:space="preserve"> (London: The </w:t>
      </w:r>
      <w:proofErr w:type="spellStart"/>
      <w:r w:rsidRPr="00AC639C">
        <w:rPr>
          <w:rFonts w:ascii="Times New Roman" w:hAnsi="Times New Roman" w:cs="Times New Roman"/>
        </w:rPr>
        <w:t>Athlone</w:t>
      </w:r>
      <w:proofErr w:type="spellEnd"/>
      <w:r w:rsidRPr="00AC639C">
        <w:rPr>
          <w:rFonts w:ascii="Times New Roman" w:hAnsi="Times New Roman" w:cs="Times New Roman"/>
        </w:rPr>
        <w:t xml:space="preserve"> Press, 1992), 207.</w:t>
      </w:r>
    </w:p>
  </w:footnote>
  <w:footnote w:id="128">
    <w:p w14:paraId="7599E1DE" w14:textId="77777777" w:rsidR="00BC3EC4" w:rsidRPr="00AC639C" w:rsidRDefault="00BC3EC4" w:rsidP="00961436">
      <w:pPr>
        <w:pStyle w:val="FootnoteText"/>
        <w:rPr>
          <w:rFonts w:ascii="Times New Roman" w:hAnsi="Times New Roman" w:cs="Times New Roman"/>
        </w:rPr>
      </w:pPr>
      <w:r w:rsidRPr="00AC639C">
        <w:rPr>
          <w:rStyle w:val="FootnoteReference"/>
          <w:rFonts w:ascii="Times New Roman" w:hAnsi="Times New Roman" w:cs="Times New Roman"/>
        </w:rPr>
        <w:footnoteRef/>
      </w:r>
      <w:r w:rsidRPr="00AC639C">
        <w:rPr>
          <w:rFonts w:ascii="Times New Roman" w:hAnsi="Times New Roman" w:cs="Times New Roman"/>
        </w:rPr>
        <w:t xml:space="preserve"> Ibid., 210.</w:t>
      </w:r>
    </w:p>
  </w:footnote>
  <w:footnote w:id="129">
    <w:p w14:paraId="2B7B04D9" w14:textId="77777777" w:rsidR="00BC3EC4" w:rsidRPr="00AC639C" w:rsidRDefault="00BC3EC4" w:rsidP="00961436">
      <w:pPr>
        <w:pStyle w:val="FootnoteText"/>
        <w:rPr>
          <w:rFonts w:ascii="Times New Roman" w:hAnsi="Times New Roman" w:cs="Times New Roman"/>
        </w:rPr>
      </w:pPr>
      <w:r w:rsidRPr="00AC639C">
        <w:rPr>
          <w:rStyle w:val="FootnoteReference"/>
          <w:rFonts w:ascii="Times New Roman" w:hAnsi="Times New Roman" w:cs="Times New Roman"/>
        </w:rPr>
        <w:footnoteRef/>
      </w:r>
      <w:r w:rsidRPr="00AC639C">
        <w:rPr>
          <w:rFonts w:ascii="Times New Roman" w:hAnsi="Times New Roman" w:cs="Times New Roman"/>
        </w:rPr>
        <w:t xml:space="preserve"> Ibid., 211.</w:t>
      </w:r>
    </w:p>
  </w:footnote>
  <w:footnote w:id="130">
    <w:p w14:paraId="2975D4C5" w14:textId="77777777" w:rsidR="00BC3EC4" w:rsidRPr="00AC639C" w:rsidRDefault="00BC3EC4" w:rsidP="00961436">
      <w:pPr>
        <w:pStyle w:val="FootnoteText"/>
        <w:rPr>
          <w:rFonts w:ascii="Times New Roman" w:hAnsi="Times New Roman" w:cs="Times New Roman"/>
        </w:rPr>
      </w:pPr>
      <w:r w:rsidRPr="00AC639C">
        <w:rPr>
          <w:rStyle w:val="FootnoteReference"/>
          <w:rFonts w:ascii="Times New Roman" w:hAnsi="Times New Roman" w:cs="Times New Roman"/>
        </w:rPr>
        <w:footnoteRef/>
      </w:r>
      <w:r w:rsidRPr="00AC639C">
        <w:rPr>
          <w:rFonts w:ascii="Times New Roman" w:hAnsi="Times New Roman" w:cs="Times New Roman"/>
        </w:rPr>
        <w:t xml:space="preserve"> Ibid.</w:t>
      </w:r>
    </w:p>
  </w:footnote>
  <w:footnote w:id="131">
    <w:p w14:paraId="28705E89" w14:textId="77777777" w:rsidR="00BC3EC4" w:rsidRDefault="00BC3EC4" w:rsidP="00961436">
      <w:pPr>
        <w:pStyle w:val="FootnoteText"/>
      </w:pPr>
      <w:r w:rsidRPr="00AC639C">
        <w:rPr>
          <w:rStyle w:val="FootnoteReference"/>
          <w:rFonts w:ascii="Times New Roman" w:hAnsi="Times New Roman" w:cs="Times New Roman"/>
        </w:rPr>
        <w:footnoteRef/>
      </w:r>
      <w:r w:rsidRPr="00AC639C">
        <w:rPr>
          <w:rFonts w:ascii="Times New Roman" w:hAnsi="Times New Roman" w:cs="Times New Roman"/>
        </w:rPr>
        <w:t xml:space="preserve"> Ibid., 208.</w:t>
      </w:r>
    </w:p>
  </w:footnote>
  <w:footnote w:id="132">
    <w:p w14:paraId="79E786DB" w14:textId="77777777" w:rsidR="00BC3EC4" w:rsidRPr="009F35FF" w:rsidRDefault="00BC3EC4" w:rsidP="00961436">
      <w:pPr>
        <w:pStyle w:val="FootnoteText"/>
        <w:rPr>
          <w:rFonts w:ascii="Times New Roman" w:hAnsi="Times New Roman" w:cs="Times New Roman"/>
        </w:rPr>
      </w:pPr>
      <w:r w:rsidRPr="009F35FF">
        <w:rPr>
          <w:rStyle w:val="FootnoteReference"/>
          <w:rFonts w:ascii="Times New Roman" w:hAnsi="Times New Roman" w:cs="Times New Roman"/>
        </w:rPr>
        <w:footnoteRef/>
      </w:r>
      <w:r w:rsidRPr="009F35FF">
        <w:rPr>
          <w:rFonts w:ascii="Times New Roman" w:hAnsi="Times New Roman" w:cs="Times New Roman"/>
        </w:rPr>
        <w:t xml:space="preserve"> Margery Palmer McCulloch, </w:t>
      </w:r>
      <w:r w:rsidRPr="009F35FF">
        <w:rPr>
          <w:rFonts w:ascii="Times New Roman" w:hAnsi="Times New Roman" w:cs="Times New Roman"/>
          <w:i/>
        </w:rPr>
        <w:t>Scottish Modernism and its Contexts 1918-1959: Literature, National Identity and Cultural Exchange</w:t>
      </w:r>
      <w:r w:rsidRPr="009F35FF">
        <w:rPr>
          <w:rFonts w:ascii="Times New Roman" w:hAnsi="Times New Roman" w:cs="Times New Roman"/>
        </w:rPr>
        <w:t xml:space="preserve"> (Edinburgh: Edinburgh University Press, 2009), 1.</w:t>
      </w:r>
    </w:p>
  </w:footnote>
  <w:footnote w:id="133">
    <w:p w14:paraId="422D7EA3" w14:textId="77777777" w:rsidR="00BC3EC4" w:rsidRPr="009F35FF" w:rsidRDefault="00BC3EC4" w:rsidP="00961436">
      <w:pPr>
        <w:pStyle w:val="FootnoteText"/>
        <w:rPr>
          <w:rFonts w:ascii="Times New Roman" w:hAnsi="Times New Roman" w:cs="Times New Roman"/>
        </w:rPr>
      </w:pPr>
      <w:r w:rsidRPr="009F35FF">
        <w:rPr>
          <w:rStyle w:val="FootnoteReference"/>
          <w:rFonts w:ascii="Times New Roman" w:hAnsi="Times New Roman" w:cs="Times New Roman"/>
        </w:rPr>
        <w:footnoteRef/>
      </w:r>
      <w:r w:rsidRPr="009F35FF">
        <w:rPr>
          <w:rFonts w:ascii="Times New Roman" w:hAnsi="Times New Roman" w:cs="Times New Roman"/>
        </w:rPr>
        <w:t xml:space="preserve"> Ibid., 39.</w:t>
      </w:r>
    </w:p>
  </w:footnote>
  <w:footnote w:id="134">
    <w:p w14:paraId="66600F73" w14:textId="2B4DBBA1" w:rsidR="00BC3EC4" w:rsidRPr="009F35FF" w:rsidRDefault="00BC3EC4" w:rsidP="00961436">
      <w:pPr>
        <w:pStyle w:val="FootnoteText"/>
        <w:rPr>
          <w:rFonts w:ascii="Times New Roman" w:hAnsi="Times New Roman" w:cs="Times New Roman"/>
        </w:rPr>
      </w:pPr>
      <w:r w:rsidRPr="009F35FF">
        <w:rPr>
          <w:rStyle w:val="FootnoteReference"/>
          <w:rFonts w:ascii="Times New Roman" w:hAnsi="Times New Roman" w:cs="Times New Roman"/>
        </w:rPr>
        <w:footnoteRef/>
      </w:r>
      <w:r w:rsidRPr="009F35FF">
        <w:rPr>
          <w:rFonts w:ascii="Times New Roman" w:hAnsi="Times New Roman" w:cs="Times New Roman"/>
        </w:rPr>
        <w:t xml:space="preserve"> </w:t>
      </w:r>
      <w:r>
        <w:rPr>
          <w:rFonts w:ascii="Times New Roman" w:hAnsi="Times New Roman" w:cs="Times New Roman"/>
        </w:rPr>
        <w:t>Roderick Watson</w:t>
      </w:r>
      <w:r w:rsidRPr="009F35FF">
        <w:rPr>
          <w:rFonts w:ascii="Times New Roman" w:hAnsi="Times New Roman" w:cs="Times New Roman"/>
        </w:rPr>
        <w:t>, “</w:t>
      </w:r>
      <w:r>
        <w:rPr>
          <w:rFonts w:ascii="Times New Roman" w:hAnsi="Times New Roman" w:cs="Times New Roman"/>
        </w:rPr>
        <w:t>Living with the Double Tongue: Modern Poetry in Scots</w:t>
      </w:r>
      <w:r w:rsidRPr="009F35FF">
        <w:rPr>
          <w:rFonts w:ascii="Times New Roman" w:hAnsi="Times New Roman" w:cs="Times New Roman"/>
        </w:rPr>
        <w:t xml:space="preserve">,” in </w:t>
      </w:r>
      <w:r w:rsidRPr="009F35FF">
        <w:rPr>
          <w:rFonts w:ascii="Times New Roman" w:hAnsi="Times New Roman" w:cs="Times New Roman"/>
          <w:i/>
        </w:rPr>
        <w:t>The Edinburgh History of Scottish</w:t>
      </w:r>
      <w:r>
        <w:rPr>
          <w:rFonts w:ascii="Times New Roman" w:hAnsi="Times New Roman" w:cs="Times New Roman"/>
          <w:i/>
        </w:rPr>
        <w:t xml:space="preserve"> Literature</w:t>
      </w:r>
      <w:r w:rsidRPr="009F35FF">
        <w:rPr>
          <w:rFonts w:ascii="Times New Roman" w:hAnsi="Times New Roman" w:cs="Times New Roman"/>
          <w:i/>
        </w:rPr>
        <w:t xml:space="preserve"> Volume 3 Modern Transformations: New Identities (from 1918)</w:t>
      </w:r>
      <w:r w:rsidRPr="009F35FF">
        <w:rPr>
          <w:rFonts w:ascii="Times New Roman" w:hAnsi="Times New Roman" w:cs="Times New Roman"/>
        </w:rPr>
        <w:t xml:space="preserve"> ed. Ian Brown co-ed. Thomas Owen Clancy, Susan Manning and Murray </w:t>
      </w:r>
      <w:proofErr w:type="spellStart"/>
      <w:r w:rsidRPr="009F35FF">
        <w:rPr>
          <w:rFonts w:ascii="Times New Roman" w:hAnsi="Times New Roman" w:cs="Times New Roman"/>
        </w:rPr>
        <w:t>Pittock</w:t>
      </w:r>
      <w:proofErr w:type="spellEnd"/>
      <w:r w:rsidRPr="009F35FF">
        <w:rPr>
          <w:rFonts w:ascii="Times New Roman" w:hAnsi="Times New Roman" w:cs="Times New Roman"/>
        </w:rPr>
        <w:t xml:space="preserve"> Literature (Edinburgh: Edinburgh University Press, 2007), 163-164.</w:t>
      </w:r>
    </w:p>
  </w:footnote>
  <w:footnote w:id="135">
    <w:p w14:paraId="0E3D9F9F" w14:textId="77777777" w:rsidR="00BC3EC4" w:rsidRPr="009F35FF" w:rsidRDefault="00BC3EC4" w:rsidP="00961436">
      <w:pPr>
        <w:pStyle w:val="FootnoteText"/>
        <w:rPr>
          <w:rFonts w:ascii="Times New Roman" w:hAnsi="Times New Roman" w:cs="Times New Roman"/>
        </w:rPr>
      </w:pPr>
      <w:r w:rsidRPr="009F35FF">
        <w:rPr>
          <w:rStyle w:val="FootnoteReference"/>
          <w:rFonts w:ascii="Times New Roman" w:hAnsi="Times New Roman" w:cs="Times New Roman"/>
        </w:rPr>
        <w:footnoteRef/>
      </w:r>
      <w:r w:rsidRPr="009F35FF">
        <w:rPr>
          <w:rFonts w:ascii="Times New Roman" w:hAnsi="Times New Roman" w:cs="Times New Roman"/>
        </w:rPr>
        <w:t xml:space="preserve"> Quoted in McCulloch, </w:t>
      </w:r>
      <w:r w:rsidRPr="009F35FF">
        <w:rPr>
          <w:rFonts w:ascii="Times New Roman" w:hAnsi="Times New Roman" w:cs="Times New Roman"/>
          <w:i/>
        </w:rPr>
        <w:t>Scottish Modernism and its Contexts</w:t>
      </w:r>
      <w:r w:rsidRPr="009F35FF">
        <w:rPr>
          <w:rFonts w:ascii="Times New Roman" w:hAnsi="Times New Roman" w:cs="Times New Roman"/>
        </w:rPr>
        <w:t>, 96.</w:t>
      </w:r>
    </w:p>
  </w:footnote>
  <w:footnote w:id="136">
    <w:p w14:paraId="6D215F5D" w14:textId="77777777" w:rsidR="00BC3EC4" w:rsidRPr="009F35FF" w:rsidRDefault="00BC3EC4" w:rsidP="00961436">
      <w:pPr>
        <w:pStyle w:val="FootnoteText"/>
        <w:rPr>
          <w:rFonts w:ascii="Times New Roman" w:hAnsi="Times New Roman" w:cs="Times New Roman"/>
        </w:rPr>
      </w:pPr>
      <w:r w:rsidRPr="009F35FF">
        <w:rPr>
          <w:rStyle w:val="FootnoteReference"/>
          <w:rFonts w:ascii="Times New Roman" w:hAnsi="Times New Roman" w:cs="Times New Roman"/>
        </w:rPr>
        <w:footnoteRef/>
      </w:r>
      <w:r w:rsidRPr="009F35FF">
        <w:rPr>
          <w:rFonts w:ascii="Times New Roman" w:hAnsi="Times New Roman" w:cs="Times New Roman"/>
        </w:rPr>
        <w:t xml:space="preserve"> William L. Miller, “Introduction: From Last Empress to First Minister,” in </w:t>
      </w:r>
      <w:r w:rsidRPr="009F35FF">
        <w:rPr>
          <w:rFonts w:ascii="Times New Roman" w:hAnsi="Times New Roman" w:cs="Times New Roman"/>
          <w:i/>
        </w:rPr>
        <w:t>Anglo-Scottish Relations from 1900 to Devolution and Beyond</w:t>
      </w:r>
      <w:r w:rsidRPr="009F35FF">
        <w:rPr>
          <w:rFonts w:ascii="Times New Roman" w:hAnsi="Times New Roman" w:cs="Times New Roman"/>
        </w:rPr>
        <w:t xml:space="preserve"> ed. William L. Miller (Oxford: Oxford University Press, 2005), 4.</w:t>
      </w:r>
    </w:p>
  </w:footnote>
  <w:footnote w:id="137">
    <w:p w14:paraId="3454735D" w14:textId="77777777" w:rsidR="00BC3EC4" w:rsidRPr="009F35FF" w:rsidRDefault="00BC3EC4" w:rsidP="00961436">
      <w:pPr>
        <w:pStyle w:val="FootnoteText"/>
        <w:rPr>
          <w:rFonts w:ascii="Times New Roman" w:hAnsi="Times New Roman" w:cs="Times New Roman"/>
        </w:rPr>
      </w:pPr>
      <w:r w:rsidRPr="009F35FF">
        <w:rPr>
          <w:rStyle w:val="FootnoteReference"/>
          <w:rFonts w:ascii="Times New Roman" w:hAnsi="Times New Roman" w:cs="Times New Roman"/>
        </w:rPr>
        <w:footnoteRef/>
      </w:r>
      <w:r w:rsidRPr="009F35FF">
        <w:rPr>
          <w:rFonts w:ascii="Times New Roman" w:hAnsi="Times New Roman" w:cs="Times New Roman"/>
        </w:rPr>
        <w:t xml:space="preserve"> Angela McCarthy, “National Identities and Twentieth-Century Scottish Migrants in England” in </w:t>
      </w:r>
      <w:r w:rsidRPr="009F35FF">
        <w:rPr>
          <w:rFonts w:ascii="Times New Roman" w:hAnsi="Times New Roman" w:cs="Times New Roman"/>
          <w:i/>
        </w:rPr>
        <w:t>Anglo-Scottish Relations from 1900 to Devolution and Beyond</w:t>
      </w:r>
      <w:r w:rsidRPr="009F35FF">
        <w:rPr>
          <w:rFonts w:ascii="Times New Roman" w:hAnsi="Times New Roman" w:cs="Times New Roman"/>
        </w:rPr>
        <w:t xml:space="preserve"> ed. William L. Miller (Oxford: Oxford University Press, 2005), 177.</w:t>
      </w:r>
    </w:p>
  </w:footnote>
  <w:footnote w:id="138">
    <w:p w14:paraId="26DA84F0" w14:textId="77777777" w:rsidR="00BC3EC4" w:rsidRPr="009F35FF" w:rsidRDefault="00BC3EC4" w:rsidP="00961436">
      <w:pPr>
        <w:pStyle w:val="FootnoteText"/>
        <w:rPr>
          <w:rFonts w:ascii="Times New Roman" w:hAnsi="Times New Roman" w:cs="Times New Roman"/>
        </w:rPr>
      </w:pPr>
      <w:r w:rsidRPr="009F35FF">
        <w:rPr>
          <w:rStyle w:val="FootnoteReference"/>
          <w:rFonts w:ascii="Times New Roman" w:hAnsi="Times New Roman" w:cs="Times New Roman"/>
        </w:rPr>
        <w:footnoteRef/>
      </w:r>
      <w:r w:rsidRPr="009F35FF">
        <w:rPr>
          <w:rFonts w:ascii="Times New Roman" w:hAnsi="Times New Roman" w:cs="Times New Roman"/>
        </w:rPr>
        <w:t xml:space="preserve"> Billy Wolfe, </w:t>
      </w:r>
      <w:r w:rsidRPr="009F35FF">
        <w:rPr>
          <w:rFonts w:ascii="Times New Roman" w:hAnsi="Times New Roman" w:cs="Times New Roman"/>
          <w:i/>
        </w:rPr>
        <w:t>Scotland Lives: The Quest for Independence</w:t>
      </w:r>
      <w:r w:rsidRPr="009F35FF">
        <w:rPr>
          <w:rFonts w:ascii="Times New Roman" w:hAnsi="Times New Roman" w:cs="Times New Roman"/>
        </w:rPr>
        <w:t xml:space="preserve"> (Edinburgh: Macdonald Printers, 1973), 135.</w:t>
      </w:r>
    </w:p>
  </w:footnote>
  <w:footnote w:id="139">
    <w:p w14:paraId="282AAFF9" w14:textId="4E27E29E" w:rsidR="00BC3EC4" w:rsidRPr="009F35FF" w:rsidRDefault="00BC3EC4" w:rsidP="00961436">
      <w:pPr>
        <w:pStyle w:val="FootnoteText"/>
        <w:rPr>
          <w:rFonts w:ascii="Times New Roman" w:hAnsi="Times New Roman" w:cs="Times New Roman"/>
        </w:rPr>
      </w:pPr>
      <w:r w:rsidRPr="009F35FF">
        <w:rPr>
          <w:rStyle w:val="FootnoteReference"/>
          <w:rFonts w:ascii="Times New Roman" w:hAnsi="Times New Roman" w:cs="Times New Roman"/>
        </w:rPr>
        <w:footnoteRef/>
      </w:r>
      <w:r w:rsidRPr="009F35FF">
        <w:rPr>
          <w:rFonts w:ascii="Times New Roman" w:hAnsi="Times New Roman" w:cs="Times New Roman"/>
        </w:rPr>
        <w:t xml:space="preserve"> John MacDonald </w:t>
      </w:r>
      <w:proofErr w:type="spellStart"/>
      <w:r w:rsidRPr="009F35FF">
        <w:rPr>
          <w:rFonts w:ascii="Times New Roman" w:hAnsi="Times New Roman" w:cs="Times New Roman"/>
        </w:rPr>
        <w:t>MacCormick</w:t>
      </w:r>
      <w:proofErr w:type="spellEnd"/>
      <w:r w:rsidRPr="009F35FF">
        <w:rPr>
          <w:rFonts w:ascii="Times New Roman" w:hAnsi="Times New Roman" w:cs="Times New Roman"/>
        </w:rPr>
        <w:t xml:space="preserve">, </w:t>
      </w:r>
      <w:r w:rsidRPr="009F35FF">
        <w:rPr>
          <w:rFonts w:ascii="Times New Roman" w:hAnsi="Times New Roman" w:cs="Times New Roman"/>
          <w:i/>
        </w:rPr>
        <w:t>Flag in the Wind: The Story of the National Movement in Scotland</w:t>
      </w:r>
      <w:r>
        <w:rPr>
          <w:rFonts w:ascii="Times New Roman" w:hAnsi="Times New Roman" w:cs="Times New Roman"/>
        </w:rPr>
        <w:t xml:space="preserve"> (London: Victor Gollancz, </w:t>
      </w:r>
      <w:r w:rsidRPr="009F35FF">
        <w:rPr>
          <w:rFonts w:ascii="Times New Roman" w:hAnsi="Times New Roman" w:cs="Times New Roman"/>
        </w:rPr>
        <w:t>etc./The Camelot Press, 1955), 21; 87; 130; 174.</w:t>
      </w:r>
    </w:p>
  </w:footnote>
  <w:footnote w:id="140">
    <w:p w14:paraId="08ADB38F" w14:textId="77777777" w:rsidR="00BC3EC4" w:rsidRPr="009F35FF" w:rsidRDefault="00BC3EC4" w:rsidP="00961436">
      <w:pPr>
        <w:pStyle w:val="FootnoteText"/>
        <w:rPr>
          <w:rFonts w:ascii="Times New Roman" w:hAnsi="Times New Roman" w:cs="Times New Roman"/>
        </w:rPr>
      </w:pPr>
      <w:r w:rsidRPr="009F35FF">
        <w:rPr>
          <w:rStyle w:val="FootnoteReference"/>
          <w:rFonts w:ascii="Times New Roman" w:hAnsi="Times New Roman" w:cs="Times New Roman"/>
        </w:rPr>
        <w:footnoteRef/>
      </w:r>
      <w:r w:rsidRPr="009F35FF">
        <w:rPr>
          <w:rFonts w:ascii="Times New Roman" w:hAnsi="Times New Roman" w:cs="Times New Roman"/>
        </w:rPr>
        <w:t xml:space="preserve"> Richard J Finlay, “Scotland and the Monarchy in the Twentieth Century,” in </w:t>
      </w:r>
      <w:r w:rsidRPr="009F35FF">
        <w:rPr>
          <w:rFonts w:ascii="Times New Roman" w:hAnsi="Times New Roman" w:cs="Times New Roman"/>
          <w:i/>
        </w:rPr>
        <w:t>Anglo-Scottish Relations from 1900 to Devolution and Beyond</w:t>
      </w:r>
      <w:r w:rsidRPr="009F35FF">
        <w:rPr>
          <w:rFonts w:ascii="Times New Roman" w:hAnsi="Times New Roman" w:cs="Times New Roman"/>
        </w:rPr>
        <w:t xml:space="preserve"> ed. William L. Miller (Oxford: Oxford University Press, 2005), 21.</w:t>
      </w:r>
    </w:p>
  </w:footnote>
  <w:footnote w:id="141">
    <w:p w14:paraId="0ACE2F19" w14:textId="77777777" w:rsidR="00BC3EC4" w:rsidRPr="009F35FF" w:rsidRDefault="00BC3EC4" w:rsidP="00961436">
      <w:pPr>
        <w:pStyle w:val="FootnoteText"/>
        <w:rPr>
          <w:rFonts w:ascii="Times New Roman" w:hAnsi="Times New Roman" w:cs="Times New Roman"/>
        </w:rPr>
      </w:pPr>
      <w:r w:rsidRPr="009F35FF">
        <w:rPr>
          <w:rStyle w:val="FootnoteReference"/>
          <w:rFonts w:ascii="Times New Roman" w:hAnsi="Times New Roman" w:cs="Times New Roman"/>
        </w:rPr>
        <w:footnoteRef/>
      </w:r>
      <w:r w:rsidRPr="009F35FF">
        <w:rPr>
          <w:rFonts w:ascii="Times New Roman" w:hAnsi="Times New Roman" w:cs="Times New Roman"/>
        </w:rPr>
        <w:t xml:space="preserve"> Wolfe, </w:t>
      </w:r>
      <w:r w:rsidRPr="009F35FF">
        <w:rPr>
          <w:rFonts w:ascii="Times New Roman" w:hAnsi="Times New Roman" w:cs="Times New Roman"/>
          <w:i/>
        </w:rPr>
        <w:t>Scotland Lives</w:t>
      </w:r>
      <w:r w:rsidRPr="009F35FF">
        <w:rPr>
          <w:rFonts w:ascii="Times New Roman" w:hAnsi="Times New Roman" w:cs="Times New Roman"/>
        </w:rPr>
        <w:t>, 143.</w:t>
      </w:r>
    </w:p>
  </w:footnote>
  <w:footnote w:id="142">
    <w:p w14:paraId="22F183C3" w14:textId="77777777" w:rsidR="00BC3EC4" w:rsidRPr="009F35FF" w:rsidRDefault="00BC3EC4" w:rsidP="00961436">
      <w:pPr>
        <w:pStyle w:val="FootnoteText"/>
        <w:rPr>
          <w:rFonts w:ascii="Times New Roman" w:hAnsi="Times New Roman" w:cs="Times New Roman"/>
        </w:rPr>
      </w:pPr>
      <w:r w:rsidRPr="009F35FF">
        <w:rPr>
          <w:rStyle w:val="FootnoteReference"/>
          <w:rFonts w:ascii="Times New Roman" w:hAnsi="Times New Roman" w:cs="Times New Roman"/>
        </w:rPr>
        <w:footnoteRef/>
      </w:r>
      <w:r w:rsidRPr="009F35FF">
        <w:rPr>
          <w:rFonts w:ascii="Times New Roman" w:hAnsi="Times New Roman" w:cs="Times New Roman"/>
        </w:rPr>
        <w:t xml:space="preserve"> Ibid., 161.</w:t>
      </w:r>
    </w:p>
  </w:footnote>
  <w:footnote w:id="143">
    <w:p w14:paraId="265893BA" w14:textId="77777777" w:rsidR="00BC3EC4" w:rsidRPr="009F35FF" w:rsidRDefault="00BC3EC4" w:rsidP="00961436">
      <w:pPr>
        <w:pStyle w:val="FootnoteText"/>
        <w:rPr>
          <w:rFonts w:ascii="Times New Roman" w:hAnsi="Times New Roman" w:cs="Times New Roman"/>
        </w:rPr>
      </w:pPr>
      <w:r w:rsidRPr="009F35FF">
        <w:rPr>
          <w:rStyle w:val="FootnoteReference"/>
          <w:rFonts w:ascii="Times New Roman" w:hAnsi="Times New Roman" w:cs="Times New Roman"/>
        </w:rPr>
        <w:footnoteRef/>
      </w:r>
      <w:r w:rsidRPr="009F35FF">
        <w:rPr>
          <w:rFonts w:ascii="Times New Roman" w:hAnsi="Times New Roman" w:cs="Times New Roman"/>
        </w:rPr>
        <w:t xml:space="preserve"> Nigel Tranter, “Foreword” in </w:t>
      </w:r>
      <w:r w:rsidRPr="009F35FF">
        <w:rPr>
          <w:rFonts w:ascii="Times New Roman" w:hAnsi="Times New Roman" w:cs="Times New Roman"/>
          <w:i/>
        </w:rPr>
        <w:t>The Growth of Nationalism in Scotland</w:t>
      </w:r>
      <w:r w:rsidRPr="009F35FF">
        <w:rPr>
          <w:rFonts w:ascii="Times New Roman" w:hAnsi="Times New Roman" w:cs="Times New Roman"/>
        </w:rPr>
        <w:t xml:space="preserve"> by Keith Webb (Glasgow: The </w:t>
      </w:r>
      <w:proofErr w:type="spellStart"/>
      <w:r w:rsidRPr="009F35FF">
        <w:rPr>
          <w:rFonts w:ascii="Times New Roman" w:hAnsi="Times New Roman" w:cs="Times New Roman"/>
        </w:rPr>
        <w:t>Molendinar</w:t>
      </w:r>
      <w:proofErr w:type="spellEnd"/>
      <w:r w:rsidRPr="009F35FF">
        <w:rPr>
          <w:rFonts w:ascii="Times New Roman" w:hAnsi="Times New Roman" w:cs="Times New Roman"/>
        </w:rPr>
        <w:t xml:space="preserve"> Press, 1977), vi.</w:t>
      </w:r>
    </w:p>
  </w:footnote>
  <w:footnote w:id="144">
    <w:p w14:paraId="2F280FC7" w14:textId="77777777" w:rsidR="00BC3EC4" w:rsidRPr="009F35FF" w:rsidRDefault="00BC3EC4" w:rsidP="00961436">
      <w:pPr>
        <w:pStyle w:val="FootnoteText"/>
        <w:rPr>
          <w:rFonts w:ascii="Times New Roman" w:hAnsi="Times New Roman" w:cs="Times New Roman"/>
        </w:rPr>
      </w:pPr>
      <w:r w:rsidRPr="009F35FF">
        <w:rPr>
          <w:rStyle w:val="FootnoteReference"/>
          <w:rFonts w:ascii="Times New Roman" w:hAnsi="Times New Roman" w:cs="Times New Roman"/>
        </w:rPr>
        <w:footnoteRef/>
      </w:r>
      <w:r w:rsidRPr="009F35FF">
        <w:rPr>
          <w:rFonts w:ascii="Times New Roman" w:hAnsi="Times New Roman" w:cs="Times New Roman"/>
        </w:rPr>
        <w:t xml:space="preserve"> Wolfe, </w:t>
      </w:r>
      <w:r w:rsidRPr="009F35FF">
        <w:rPr>
          <w:rFonts w:ascii="Times New Roman" w:hAnsi="Times New Roman" w:cs="Times New Roman"/>
          <w:i/>
        </w:rPr>
        <w:t>Scotland Lives</w:t>
      </w:r>
      <w:r w:rsidRPr="009F35FF">
        <w:rPr>
          <w:rFonts w:ascii="Times New Roman" w:hAnsi="Times New Roman" w:cs="Times New Roman"/>
        </w:rPr>
        <w:t>, 34-35.</w:t>
      </w:r>
    </w:p>
  </w:footnote>
  <w:footnote w:id="145">
    <w:p w14:paraId="2EF20A87" w14:textId="77777777" w:rsidR="00BC3EC4" w:rsidRPr="009F35FF" w:rsidRDefault="00BC3EC4" w:rsidP="00961436">
      <w:pPr>
        <w:pStyle w:val="FootnoteText"/>
        <w:rPr>
          <w:rFonts w:ascii="Times New Roman" w:hAnsi="Times New Roman" w:cs="Times New Roman"/>
        </w:rPr>
      </w:pPr>
      <w:r w:rsidRPr="009F35FF">
        <w:rPr>
          <w:rStyle w:val="FootnoteReference"/>
          <w:rFonts w:ascii="Times New Roman" w:hAnsi="Times New Roman" w:cs="Times New Roman"/>
        </w:rPr>
        <w:footnoteRef/>
      </w:r>
      <w:r w:rsidRPr="009F35FF">
        <w:rPr>
          <w:rFonts w:ascii="Times New Roman" w:hAnsi="Times New Roman" w:cs="Times New Roman"/>
        </w:rPr>
        <w:t xml:space="preserve"> Ibid., 144.</w:t>
      </w:r>
    </w:p>
  </w:footnote>
  <w:footnote w:id="146">
    <w:p w14:paraId="168AB097" w14:textId="77777777" w:rsidR="00BC3EC4" w:rsidRPr="005D5882" w:rsidRDefault="00BC3EC4" w:rsidP="00961436">
      <w:pPr>
        <w:pStyle w:val="FootnoteText"/>
        <w:rPr>
          <w:rFonts w:ascii="Times New Roman" w:hAnsi="Times New Roman" w:cs="Times New Roman"/>
        </w:rPr>
      </w:pPr>
      <w:r w:rsidRPr="005D5882">
        <w:rPr>
          <w:rStyle w:val="FootnoteReference"/>
          <w:rFonts w:ascii="Times New Roman" w:hAnsi="Times New Roman" w:cs="Times New Roman"/>
        </w:rPr>
        <w:footnoteRef/>
      </w:r>
      <w:r w:rsidRPr="005D5882">
        <w:rPr>
          <w:rFonts w:ascii="Times New Roman" w:hAnsi="Times New Roman" w:cs="Times New Roman"/>
        </w:rPr>
        <w:t xml:space="preserve"> Benedict Anderson, </w:t>
      </w:r>
      <w:r w:rsidRPr="005D5882">
        <w:rPr>
          <w:rFonts w:ascii="Times New Roman" w:hAnsi="Times New Roman" w:cs="Times New Roman"/>
          <w:i/>
        </w:rPr>
        <w:t>Imagined Communities: Reflections on the Origin and Spread of Nationalism</w:t>
      </w:r>
      <w:r w:rsidRPr="005D5882">
        <w:rPr>
          <w:rFonts w:ascii="Times New Roman" w:hAnsi="Times New Roman" w:cs="Times New Roman"/>
        </w:rPr>
        <w:t xml:space="preserve"> (New York: Verso, 2016), 194-195.</w:t>
      </w:r>
    </w:p>
  </w:footnote>
  <w:footnote w:id="147">
    <w:p w14:paraId="61A558A3" w14:textId="77777777" w:rsidR="00BC3EC4" w:rsidRPr="009F35FF" w:rsidRDefault="00BC3EC4" w:rsidP="00961436">
      <w:pPr>
        <w:pStyle w:val="FootnoteText"/>
        <w:rPr>
          <w:rFonts w:ascii="Times New Roman" w:hAnsi="Times New Roman" w:cs="Times New Roman"/>
        </w:rPr>
      </w:pPr>
      <w:r w:rsidRPr="009F35FF">
        <w:rPr>
          <w:rStyle w:val="FootnoteReference"/>
          <w:rFonts w:ascii="Times New Roman" w:hAnsi="Times New Roman" w:cs="Times New Roman"/>
        </w:rPr>
        <w:footnoteRef/>
      </w:r>
      <w:r w:rsidRPr="009F35FF">
        <w:rPr>
          <w:rFonts w:ascii="Times New Roman" w:hAnsi="Times New Roman" w:cs="Times New Roman"/>
        </w:rPr>
        <w:t xml:space="preserve"> Keith Webb, </w:t>
      </w:r>
      <w:r w:rsidRPr="009F35FF">
        <w:rPr>
          <w:rFonts w:ascii="Times New Roman" w:hAnsi="Times New Roman" w:cs="Times New Roman"/>
          <w:i/>
        </w:rPr>
        <w:t>The Growth of Nationalism in Scotland</w:t>
      </w:r>
      <w:r w:rsidRPr="009F35FF">
        <w:rPr>
          <w:rFonts w:ascii="Times New Roman" w:hAnsi="Times New Roman" w:cs="Times New Roman"/>
        </w:rPr>
        <w:t xml:space="preserve"> (Glasgow: The </w:t>
      </w:r>
      <w:proofErr w:type="spellStart"/>
      <w:r w:rsidRPr="009F35FF">
        <w:rPr>
          <w:rFonts w:ascii="Times New Roman" w:hAnsi="Times New Roman" w:cs="Times New Roman"/>
        </w:rPr>
        <w:t>Molendinar</w:t>
      </w:r>
      <w:proofErr w:type="spellEnd"/>
      <w:r w:rsidRPr="009F35FF">
        <w:rPr>
          <w:rFonts w:ascii="Times New Roman" w:hAnsi="Times New Roman" w:cs="Times New Roman"/>
        </w:rPr>
        <w:t xml:space="preserve"> Press, 1977), 71.</w:t>
      </w:r>
    </w:p>
  </w:footnote>
  <w:footnote w:id="148">
    <w:p w14:paraId="1F463F81" w14:textId="77777777" w:rsidR="00BC3EC4" w:rsidRPr="009F35FF" w:rsidRDefault="00BC3EC4" w:rsidP="00961436">
      <w:pPr>
        <w:pStyle w:val="FootnoteText"/>
        <w:rPr>
          <w:rFonts w:ascii="Times New Roman" w:hAnsi="Times New Roman" w:cs="Times New Roman"/>
        </w:rPr>
      </w:pPr>
      <w:r w:rsidRPr="009F35FF">
        <w:rPr>
          <w:rStyle w:val="FootnoteReference"/>
          <w:rFonts w:ascii="Times New Roman" w:hAnsi="Times New Roman" w:cs="Times New Roman"/>
        </w:rPr>
        <w:footnoteRef/>
      </w:r>
      <w:r w:rsidRPr="009F35FF">
        <w:rPr>
          <w:rFonts w:ascii="Times New Roman" w:hAnsi="Times New Roman" w:cs="Times New Roman"/>
        </w:rPr>
        <w:t xml:space="preserve"> </w:t>
      </w:r>
      <w:proofErr w:type="spellStart"/>
      <w:r w:rsidRPr="009F35FF">
        <w:rPr>
          <w:rFonts w:ascii="Times New Roman" w:hAnsi="Times New Roman" w:cs="Times New Roman"/>
        </w:rPr>
        <w:t>MacCormick</w:t>
      </w:r>
      <w:proofErr w:type="spellEnd"/>
      <w:r w:rsidRPr="009F35FF">
        <w:rPr>
          <w:rFonts w:ascii="Times New Roman" w:hAnsi="Times New Roman" w:cs="Times New Roman"/>
        </w:rPr>
        <w:t xml:space="preserve">, </w:t>
      </w:r>
      <w:r w:rsidRPr="009F35FF">
        <w:rPr>
          <w:rFonts w:ascii="Times New Roman" w:hAnsi="Times New Roman" w:cs="Times New Roman"/>
          <w:i/>
        </w:rPr>
        <w:t>Flag in the Wind</w:t>
      </w:r>
      <w:r w:rsidRPr="009F35FF">
        <w:rPr>
          <w:rFonts w:ascii="Times New Roman" w:hAnsi="Times New Roman" w:cs="Times New Roman"/>
        </w:rPr>
        <w:t xml:space="preserve"> 180.</w:t>
      </w:r>
    </w:p>
  </w:footnote>
  <w:footnote w:id="149">
    <w:p w14:paraId="64FF0CFB" w14:textId="77777777" w:rsidR="00BC3EC4" w:rsidRPr="009F35FF" w:rsidRDefault="00BC3EC4" w:rsidP="00961436">
      <w:pPr>
        <w:pStyle w:val="FootnoteText"/>
        <w:rPr>
          <w:rFonts w:ascii="Times New Roman" w:hAnsi="Times New Roman" w:cs="Times New Roman"/>
        </w:rPr>
      </w:pPr>
      <w:r w:rsidRPr="009F35FF">
        <w:rPr>
          <w:rStyle w:val="FootnoteReference"/>
          <w:rFonts w:ascii="Times New Roman" w:hAnsi="Times New Roman" w:cs="Times New Roman"/>
        </w:rPr>
        <w:footnoteRef/>
      </w:r>
      <w:r w:rsidRPr="009F35FF">
        <w:rPr>
          <w:rFonts w:ascii="Times New Roman" w:hAnsi="Times New Roman" w:cs="Times New Roman"/>
        </w:rPr>
        <w:t xml:space="preserve"> Ibid., 172.</w:t>
      </w:r>
    </w:p>
  </w:footnote>
  <w:footnote w:id="150">
    <w:p w14:paraId="27A1E036" w14:textId="77777777" w:rsidR="00BC3EC4" w:rsidRPr="009F35FF" w:rsidRDefault="00BC3EC4" w:rsidP="00961436">
      <w:pPr>
        <w:pStyle w:val="FootnoteText"/>
        <w:rPr>
          <w:rFonts w:ascii="Times New Roman" w:hAnsi="Times New Roman" w:cs="Times New Roman"/>
        </w:rPr>
      </w:pPr>
      <w:r w:rsidRPr="009F35FF">
        <w:rPr>
          <w:rStyle w:val="FootnoteReference"/>
          <w:rFonts w:ascii="Times New Roman" w:hAnsi="Times New Roman" w:cs="Times New Roman"/>
        </w:rPr>
        <w:footnoteRef/>
      </w:r>
      <w:r w:rsidRPr="009F35FF">
        <w:rPr>
          <w:rFonts w:ascii="Times New Roman" w:hAnsi="Times New Roman" w:cs="Times New Roman"/>
        </w:rPr>
        <w:t xml:space="preserve"> Webb, </w:t>
      </w:r>
      <w:r w:rsidRPr="009F35FF">
        <w:rPr>
          <w:rFonts w:ascii="Times New Roman" w:hAnsi="Times New Roman" w:cs="Times New Roman"/>
          <w:i/>
        </w:rPr>
        <w:t>The Growth of Nationalism</w:t>
      </w:r>
      <w:r w:rsidRPr="009F35FF">
        <w:rPr>
          <w:rFonts w:ascii="Times New Roman" w:hAnsi="Times New Roman" w:cs="Times New Roman"/>
        </w:rPr>
        <w:t>, 72.</w:t>
      </w:r>
    </w:p>
  </w:footnote>
  <w:footnote w:id="151">
    <w:p w14:paraId="08234818" w14:textId="755B28F4" w:rsidR="00BC3EC4" w:rsidRPr="009F35FF" w:rsidRDefault="00BC3EC4" w:rsidP="00961436">
      <w:pPr>
        <w:pStyle w:val="FootnoteText"/>
        <w:rPr>
          <w:rFonts w:ascii="Times New Roman" w:hAnsi="Times New Roman" w:cs="Times New Roman"/>
        </w:rPr>
      </w:pPr>
      <w:r w:rsidRPr="009F35FF">
        <w:rPr>
          <w:rStyle w:val="FootnoteReference"/>
          <w:rFonts w:ascii="Times New Roman" w:hAnsi="Times New Roman" w:cs="Times New Roman"/>
        </w:rPr>
        <w:footnoteRef/>
      </w:r>
      <w:r w:rsidRPr="009F35FF">
        <w:rPr>
          <w:rFonts w:ascii="Times New Roman" w:hAnsi="Times New Roman" w:cs="Times New Roman"/>
        </w:rPr>
        <w:t xml:space="preserve"> Quoted in Murray Steward Leith and Daniel P. J. Soule, </w:t>
      </w:r>
      <w:r w:rsidRPr="009F35FF">
        <w:rPr>
          <w:rFonts w:ascii="Times New Roman" w:hAnsi="Times New Roman" w:cs="Times New Roman"/>
          <w:i/>
        </w:rPr>
        <w:t>Political Discourse and Na</w:t>
      </w:r>
      <w:r>
        <w:rPr>
          <w:rFonts w:ascii="Times New Roman" w:hAnsi="Times New Roman" w:cs="Times New Roman"/>
          <w:i/>
        </w:rPr>
        <w:t>tional Id</w:t>
      </w:r>
      <w:r w:rsidRPr="009F35FF">
        <w:rPr>
          <w:rFonts w:ascii="Times New Roman" w:hAnsi="Times New Roman" w:cs="Times New Roman"/>
          <w:i/>
        </w:rPr>
        <w:t>e</w:t>
      </w:r>
      <w:r>
        <w:rPr>
          <w:rFonts w:ascii="Times New Roman" w:hAnsi="Times New Roman" w:cs="Times New Roman"/>
          <w:i/>
        </w:rPr>
        <w:t>n</w:t>
      </w:r>
      <w:r w:rsidRPr="009F35FF">
        <w:rPr>
          <w:rFonts w:ascii="Times New Roman" w:hAnsi="Times New Roman" w:cs="Times New Roman"/>
          <w:i/>
        </w:rPr>
        <w:t>tity in Scotland</w:t>
      </w:r>
      <w:r w:rsidRPr="009F35FF">
        <w:rPr>
          <w:rFonts w:ascii="Times New Roman" w:hAnsi="Times New Roman" w:cs="Times New Roman"/>
        </w:rPr>
        <w:t xml:space="preserve"> (Edinburgh: Edinburgh University Press, 2011), 7.</w:t>
      </w:r>
    </w:p>
  </w:footnote>
  <w:footnote w:id="152">
    <w:p w14:paraId="4C917757" w14:textId="77777777" w:rsidR="00BC3EC4" w:rsidRPr="009F35FF" w:rsidRDefault="00BC3EC4" w:rsidP="00961436">
      <w:pPr>
        <w:pStyle w:val="FootnoteText"/>
        <w:rPr>
          <w:rFonts w:ascii="Times New Roman" w:hAnsi="Times New Roman" w:cs="Times New Roman"/>
        </w:rPr>
      </w:pPr>
      <w:r w:rsidRPr="009F35FF">
        <w:rPr>
          <w:rStyle w:val="FootnoteReference"/>
          <w:rFonts w:ascii="Times New Roman" w:hAnsi="Times New Roman" w:cs="Times New Roman"/>
        </w:rPr>
        <w:footnoteRef/>
      </w:r>
      <w:r w:rsidRPr="009F35FF">
        <w:rPr>
          <w:rFonts w:ascii="Times New Roman" w:hAnsi="Times New Roman" w:cs="Times New Roman"/>
        </w:rPr>
        <w:t xml:space="preserve"> McCulloch, </w:t>
      </w:r>
      <w:r w:rsidRPr="009F35FF">
        <w:rPr>
          <w:rFonts w:ascii="Times New Roman" w:hAnsi="Times New Roman" w:cs="Times New Roman"/>
          <w:i/>
        </w:rPr>
        <w:t>Scottish Modernism</w:t>
      </w:r>
      <w:r w:rsidRPr="009F35FF">
        <w:rPr>
          <w:rFonts w:ascii="Times New Roman" w:hAnsi="Times New Roman" w:cs="Times New Roman"/>
        </w:rPr>
        <w:t>, 16.</w:t>
      </w:r>
    </w:p>
  </w:footnote>
  <w:footnote w:id="153">
    <w:p w14:paraId="039C2E69" w14:textId="77777777" w:rsidR="00BC3EC4" w:rsidRPr="009F35FF" w:rsidRDefault="00BC3EC4" w:rsidP="00961436">
      <w:pPr>
        <w:pStyle w:val="FootnoteText"/>
        <w:rPr>
          <w:rFonts w:ascii="Times New Roman" w:hAnsi="Times New Roman" w:cs="Times New Roman"/>
        </w:rPr>
      </w:pPr>
      <w:r w:rsidRPr="009F35FF">
        <w:rPr>
          <w:rStyle w:val="FootnoteReference"/>
          <w:rFonts w:ascii="Times New Roman" w:hAnsi="Times New Roman" w:cs="Times New Roman"/>
        </w:rPr>
        <w:footnoteRef/>
      </w:r>
      <w:r w:rsidRPr="009F35FF">
        <w:rPr>
          <w:rFonts w:ascii="Times New Roman" w:hAnsi="Times New Roman" w:cs="Times New Roman"/>
        </w:rPr>
        <w:t xml:space="preserve"> </w:t>
      </w:r>
      <w:proofErr w:type="spellStart"/>
      <w:r w:rsidRPr="009F35FF">
        <w:rPr>
          <w:rFonts w:ascii="Times New Roman" w:hAnsi="Times New Roman" w:cs="Times New Roman"/>
        </w:rPr>
        <w:t>Namhee</w:t>
      </w:r>
      <w:proofErr w:type="spellEnd"/>
      <w:r w:rsidRPr="009F35FF">
        <w:rPr>
          <w:rFonts w:ascii="Times New Roman" w:hAnsi="Times New Roman" w:cs="Times New Roman"/>
        </w:rPr>
        <w:t xml:space="preserve"> Lee, </w:t>
      </w:r>
      <w:r w:rsidRPr="009F35FF">
        <w:rPr>
          <w:rFonts w:ascii="Times New Roman" w:hAnsi="Times New Roman" w:cs="Times New Roman"/>
          <w:i/>
        </w:rPr>
        <w:t xml:space="preserve">The Making of </w:t>
      </w:r>
      <w:proofErr w:type="spellStart"/>
      <w:r w:rsidRPr="009F35FF">
        <w:rPr>
          <w:rFonts w:ascii="Times New Roman" w:hAnsi="Times New Roman" w:cs="Times New Roman"/>
          <w:i/>
        </w:rPr>
        <w:t>Minjung</w:t>
      </w:r>
      <w:proofErr w:type="spellEnd"/>
      <w:r w:rsidRPr="009F35FF">
        <w:rPr>
          <w:rFonts w:ascii="Times New Roman" w:hAnsi="Times New Roman" w:cs="Times New Roman"/>
          <w:i/>
        </w:rPr>
        <w:t>: Democracy and the Politics of Representation in South Korea</w:t>
      </w:r>
      <w:r w:rsidRPr="009F35FF">
        <w:rPr>
          <w:rFonts w:ascii="Times New Roman" w:hAnsi="Times New Roman" w:cs="Times New Roman"/>
        </w:rPr>
        <w:t xml:space="preserve"> (Ithaca: Cornell University Press, 2007), 3.</w:t>
      </w:r>
    </w:p>
  </w:footnote>
  <w:footnote w:id="154">
    <w:p w14:paraId="19AD118B" w14:textId="77777777" w:rsidR="00BC3EC4" w:rsidRPr="009F35FF" w:rsidRDefault="00BC3EC4" w:rsidP="00961436">
      <w:pPr>
        <w:pStyle w:val="FootnoteText"/>
        <w:rPr>
          <w:rFonts w:ascii="Times New Roman" w:hAnsi="Times New Roman" w:cs="Times New Roman"/>
        </w:rPr>
      </w:pPr>
      <w:r w:rsidRPr="009F35FF">
        <w:rPr>
          <w:rStyle w:val="FootnoteReference"/>
          <w:rFonts w:ascii="Times New Roman" w:hAnsi="Times New Roman" w:cs="Times New Roman"/>
        </w:rPr>
        <w:footnoteRef/>
      </w:r>
      <w:r w:rsidRPr="009F35FF">
        <w:rPr>
          <w:rFonts w:ascii="Times New Roman" w:hAnsi="Times New Roman" w:cs="Times New Roman"/>
        </w:rPr>
        <w:t xml:space="preserve"> Donna Lee Kwon, </w:t>
      </w:r>
      <w:r w:rsidRPr="009F35FF">
        <w:rPr>
          <w:rFonts w:ascii="Times New Roman" w:hAnsi="Times New Roman" w:cs="Times New Roman"/>
          <w:i/>
        </w:rPr>
        <w:t>Music in Korea: Experiencing Music, Expressing Culture</w:t>
      </w:r>
      <w:r w:rsidRPr="009F35FF">
        <w:rPr>
          <w:rFonts w:ascii="Times New Roman" w:hAnsi="Times New Roman" w:cs="Times New Roman"/>
        </w:rPr>
        <w:t xml:space="preserve"> (New York: Oxford </w:t>
      </w:r>
      <w:proofErr w:type="spellStart"/>
      <w:r w:rsidRPr="009F35FF">
        <w:rPr>
          <w:rFonts w:ascii="Times New Roman" w:hAnsi="Times New Roman" w:cs="Times New Roman"/>
        </w:rPr>
        <w:t>Univeristy</w:t>
      </w:r>
      <w:proofErr w:type="spellEnd"/>
      <w:r w:rsidRPr="009F35FF">
        <w:rPr>
          <w:rFonts w:ascii="Times New Roman" w:hAnsi="Times New Roman" w:cs="Times New Roman"/>
        </w:rPr>
        <w:t xml:space="preserve"> Press, 2012), </w:t>
      </w:r>
      <w:proofErr w:type="spellStart"/>
      <w:r w:rsidRPr="009F35FF">
        <w:rPr>
          <w:rFonts w:ascii="Times New Roman" w:hAnsi="Times New Roman" w:cs="Times New Roman"/>
        </w:rPr>
        <w:t>n.p</w:t>
      </w:r>
      <w:proofErr w:type="spellEnd"/>
      <w:r w:rsidRPr="009F35FF">
        <w:rPr>
          <w:rFonts w:ascii="Times New Roman" w:hAnsi="Times New Roman" w:cs="Times New Roman"/>
        </w:rPr>
        <w:t>.</w:t>
      </w:r>
    </w:p>
  </w:footnote>
  <w:footnote w:id="155">
    <w:p w14:paraId="1F86B918" w14:textId="77777777" w:rsidR="00BC3EC4" w:rsidRPr="009F35FF" w:rsidRDefault="00BC3EC4" w:rsidP="00961436">
      <w:pPr>
        <w:pStyle w:val="FootnoteText"/>
        <w:rPr>
          <w:rFonts w:ascii="Times New Roman" w:hAnsi="Times New Roman" w:cs="Times New Roman"/>
        </w:rPr>
      </w:pPr>
      <w:r w:rsidRPr="009F35FF">
        <w:rPr>
          <w:rStyle w:val="FootnoteReference"/>
          <w:rFonts w:ascii="Times New Roman" w:hAnsi="Times New Roman" w:cs="Times New Roman"/>
        </w:rPr>
        <w:footnoteRef/>
      </w:r>
      <w:r w:rsidRPr="009F35FF">
        <w:rPr>
          <w:rFonts w:ascii="Times New Roman" w:hAnsi="Times New Roman" w:cs="Times New Roman"/>
        </w:rPr>
        <w:t xml:space="preserve"> Thomas Kern, “Cultural Performance and Political Regime Change,” </w:t>
      </w:r>
      <w:r w:rsidRPr="009F35FF">
        <w:rPr>
          <w:rFonts w:ascii="Times New Roman" w:hAnsi="Times New Roman" w:cs="Times New Roman"/>
          <w:i/>
        </w:rPr>
        <w:t>Sociological Theory</w:t>
      </w:r>
      <w:r w:rsidRPr="009F35FF">
        <w:rPr>
          <w:rFonts w:ascii="Times New Roman" w:hAnsi="Times New Roman" w:cs="Times New Roman"/>
        </w:rPr>
        <w:t xml:space="preserve"> 27 no. 3 (2009): 296.</w:t>
      </w:r>
    </w:p>
  </w:footnote>
  <w:footnote w:id="156">
    <w:p w14:paraId="0E779F05" w14:textId="77777777" w:rsidR="00BC3EC4" w:rsidRPr="009F35FF" w:rsidRDefault="00BC3EC4" w:rsidP="00961436">
      <w:pPr>
        <w:pStyle w:val="FootnoteText"/>
        <w:rPr>
          <w:rFonts w:ascii="Times New Roman" w:hAnsi="Times New Roman" w:cs="Times New Roman"/>
        </w:rPr>
      </w:pPr>
      <w:r w:rsidRPr="009F35FF">
        <w:rPr>
          <w:rStyle w:val="FootnoteReference"/>
          <w:rFonts w:ascii="Times New Roman" w:hAnsi="Times New Roman" w:cs="Times New Roman"/>
        </w:rPr>
        <w:footnoteRef/>
      </w:r>
      <w:r w:rsidRPr="009F35FF">
        <w:rPr>
          <w:rFonts w:ascii="Times New Roman" w:hAnsi="Times New Roman" w:cs="Times New Roman"/>
        </w:rPr>
        <w:t xml:space="preserve"> </w:t>
      </w:r>
      <w:proofErr w:type="spellStart"/>
      <w:r w:rsidRPr="009F35FF">
        <w:rPr>
          <w:rFonts w:ascii="Times New Roman" w:hAnsi="Times New Roman" w:cs="Times New Roman"/>
        </w:rPr>
        <w:t>Kown</w:t>
      </w:r>
      <w:proofErr w:type="spellEnd"/>
      <w:r w:rsidRPr="009F35FF">
        <w:rPr>
          <w:rFonts w:ascii="Times New Roman" w:hAnsi="Times New Roman" w:cs="Times New Roman"/>
        </w:rPr>
        <w:t xml:space="preserve">, </w:t>
      </w:r>
      <w:r w:rsidRPr="009F35FF">
        <w:rPr>
          <w:rFonts w:ascii="Times New Roman" w:hAnsi="Times New Roman" w:cs="Times New Roman"/>
          <w:i/>
        </w:rPr>
        <w:t>Music in Korea</w:t>
      </w:r>
      <w:r w:rsidRPr="009F35FF">
        <w:rPr>
          <w:rFonts w:ascii="Times New Roman" w:hAnsi="Times New Roman" w:cs="Times New Roman"/>
        </w:rPr>
        <w:t xml:space="preserve">, </w:t>
      </w:r>
      <w:proofErr w:type="spellStart"/>
      <w:r w:rsidRPr="009F35FF">
        <w:rPr>
          <w:rFonts w:ascii="Times New Roman" w:hAnsi="Times New Roman" w:cs="Times New Roman"/>
        </w:rPr>
        <w:t>n.p</w:t>
      </w:r>
      <w:proofErr w:type="spellEnd"/>
      <w:r w:rsidRPr="009F35FF">
        <w:rPr>
          <w:rFonts w:ascii="Times New Roman" w:hAnsi="Times New Roman" w:cs="Times New Roman"/>
        </w:rPr>
        <w:t>.</w:t>
      </w:r>
    </w:p>
  </w:footnote>
  <w:footnote w:id="157">
    <w:p w14:paraId="1E1C395E" w14:textId="77777777" w:rsidR="00BC3EC4" w:rsidRPr="009F35FF" w:rsidRDefault="00BC3EC4" w:rsidP="00961436">
      <w:pPr>
        <w:pStyle w:val="FootnoteText"/>
        <w:rPr>
          <w:rFonts w:ascii="Times New Roman" w:hAnsi="Times New Roman" w:cs="Times New Roman"/>
        </w:rPr>
      </w:pPr>
      <w:r w:rsidRPr="009F35FF">
        <w:rPr>
          <w:rStyle w:val="FootnoteReference"/>
          <w:rFonts w:ascii="Times New Roman" w:hAnsi="Times New Roman" w:cs="Times New Roman"/>
        </w:rPr>
        <w:footnoteRef/>
      </w:r>
      <w:r w:rsidRPr="009F35FF">
        <w:rPr>
          <w:rFonts w:ascii="Times New Roman" w:hAnsi="Times New Roman" w:cs="Times New Roman"/>
        </w:rPr>
        <w:t xml:space="preserve"> </w:t>
      </w:r>
      <w:proofErr w:type="spellStart"/>
      <w:r w:rsidRPr="009F35FF">
        <w:rPr>
          <w:rFonts w:ascii="Times New Roman" w:hAnsi="Times New Roman" w:cs="Times New Roman"/>
        </w:rPr>
        <w:t>Quee</w:t>
      </w:r>
      <w:proofErr w:type="spellEnd"/>
      <w:r w:rsidRPr="009F35FF">
        <w:rPr>
          <w:rFonts w:ascii="Times New Roman" w:hAnsi="Times New Roman" w:cs="Times New Roman"/>
        </w:rPr>
        <w:t xml:space="preserve">-Young Kim, “From Protest to Change of Regime: The 4-19 Revolt and The Fall of the Rhee Regime in South Korea,” </w:t>
      </w:r>
      <w:r w:rsidRPr="009F35FF">
        <w:rPr>
          <w:rFonts w:ascii="Times New Roman" w:hAnsi="Times New Roman" w:cs="Times New Roman"/>
          <w:i/>
        </w:rPr>
        <w:t>Social Forces</w:t>
      </w:r>
      <w:r w:rsidRPr="009F35FF">
        <w:rPr>
          <w:rFonts w:ascii="Times New Roman" w:hAnsi="Times New Roman" w:cs="Times New Roman"/>
        </w:rPr>
        <w:t xml:space="preserve"> 74 no. 4 (1996): 1181; 1187-1188.</w:t>
      </w:r>
    </w:p>
  </w:footnote>
  <w:footnote w:id="158">
    <w:p w14:paraId="3BD1879E" w14:textId="77777777" w:rsidR="00BC3EC4" w:rsidRPr="009F35FF" w:rsidRDefault="00BC3EC4" w:rsidP="00961436">
      <w:pPr>
        <w:pStyle w:val="FootnoteText"/>
        <w:rPr>
          <w:rFonts w:ascii="Times New Roman" w:hAnsi="Times New Roman" w:cs="Times New Roman"/>
        </w:rPr>
      </w:pPr>
      <w:r w:rsidRPr="009F35FF">
        <w:rPr>
          <w:rStyle w:val="FootnoteReference"/>
          <w:rFonts w:ascii="Times New Roman" w:hAnsi="Times New Roman" w:cs="Times New Roman"/>
        </w:rPr>
        <w:footnoteRef/>
      </w:r>
      <w:r w:rsidRPr="009F35FF">
        <w:rPr>
          <w:rFonts w:ascii="Times New Roman" w:hAnsi="Times New Roman" w:cs="Times New Roman"/>
        </w:rPr>
        <w:t xml:space="preserve"> Ibid., 22.</w:t>
      </w:r>
    </w:p>
  </w:footnote>
  <w:footnote w:id="159">
    <w:p w14:paraId="704C8246" w14:textId="77777777" w:rsidR="00BC3EC4" w:rsidRPr="009F35FF" w:rsidRDefault="00BC3EC4" w:rsidP="00961436">
      <w:pPr>
        <w:pStyle w:val="FootnoteText"/>
        <w:rPr>
          <w:rFonts w:ascii="Times New Roman" w:hAnsi="Times New Roman" w:cs="Times New Roman"/>
        </w:rPr>
      </w:pPr>
      <w:r w:rsidRPr="009F35FF">
        <w:rPr>
          <w:rStyle w:val="FootnoteReference"/>
          <w:rFonts w:ascii="Times New Roman" w:hAnsi="Times New Roman" w:cs="Times New Roman"/>
        </w:rPr>
        <w:footnoteRef/>
      </w:r>
      <w:r w:rsidRPr="009F35FF">
        <w:rPr>
          <w:rFonts w:ascii="Times New Roman" w:hAnsi="Times New Roman" w:cs="Times New Roman"/>
        </w:rPr>
        <w:t xml:space="preserve"> Keith Howard, “Introduction: East Asian Music as Intangible Cultural Heritage” in </w:t>
      </w:r>
      <w:r w:rsidRPr="009F35FF">
        <w:rPr>
          <w:rFonts w:ascii="Times New Roman" w:hAnsi="Times New Roman" w:cs="Times New Roman"/>
          <w:i/>
        </w:rPr>
        <w:t>Music as Intangible Cultural Heritage: Policy, Ideology, and Practice in the Preservation of East Asian Traditions</w:t>
      </w:r>
      <w:r w:rsidRPr="009F35FF">
        <w:rPr>
          <w:rFonts w:ascii="Times New Roman" w:hAnsi="Times New Roman" w:cs="Times New Roman"/>
        </w:rPr>
        <w:t xml:space="preserve"> (Burlington, VT: </w:t>
      </w:r>
      <w:proofErr w:type="spellStart"/>
      <w:r w:rsidRPr="009F35FF">
        <w:rPr>
          <w:rFonts w:ascii="Times New Roman" w:hAnsi="Times New Roman" w:cs="Times New Roman"/>
        </w:rPr>
        <w:t>Ashgate</w:t>
      </w:r>
      <w:proofErr w:type="spellEnd"/>
      <w:r w:rsidRPr="009F35FF">
        <w:rPr>
          <w:rFonts w:ascii="Times New Roman" w:hAnsi="Times New Roman" w:cs="Times New Roman"/>
        </w:rPr>
        <w:t>, 2012), 2.</w:t>
      </w:r>
    </w:p>
  </w:footnote>
  <w:footnote w:id="160">
    <w:p w14:paraId="422EBB61" w14:textId="77777777" w:rsidR="00BC3EC4" w:rsidRPr="009F35FF" w:rsidRDefault="00BC3EC4" w:rsidP="00961436">
      <w:pPr>
        <w:pStyle w:val="FootnoteText"/>
        <w:rPr>
          <w:rFonts w:ascii="Times New Roman" w:hAnsi="Times New Roman" w:cs="Times New Roman"/>
        </w:rPr>
      </w:pPr>
      <w:r w:rsidRPr="009F35FF">
        <w:rPr>
          <w:rStyle w:val="FootnoteReference"/>
          <w:rFonts w:ascii="Times New Roman" w:hAnsi="Times New Roman" w:cs="Times New Roman"/>
        </w:rPr>
        <w:footnoteRef/>
      </w:r>
      <w:r w:rsidRPr="009F35FF">
        <w:rPr>
          <w:rFonts w:ascii="Times New Roman" w:hAnsi="Times New Roman" w:cs="Times New Roman"/>
        </w:rPr>
        <w:t xml:space="preserve"> Korea Overseas Information Service, </w:t>
      </w:r>
      <w:r w:rsidRPr="009F35FF">
        <w:rPr>
          <w:rFonts w:ascii="Times New Roman" w:hAnsi="Times New Roman" w:cs="Times New Roman"/>
          <w:i/>
        </w:rPr>
        <w:t>Focus on Korea: Korean Arts and Culture</w:t>
      </w:r>
      <w:r w:rsidRPr="009F35FF">
        <w:rPr>
          <w:rFonts w:ascii="Times New Roman" w:hAnsi="Times New Roman" w:cs="Times New Roman"/>
        </w:rPr>
        <w:t xml:space="preserve"> (Seoul: Seoul International Publishing House, 1986), 52.</w:t>
      </w:r>
    </w:p>
  </w:footnote>
  <w:footnote w:id="161">
    <w:p w14:paraId="15D74D23" w14:textId="77777777" w:rsidR="00BC3EC4" w:rsidRPr="009F35FF" w:rsidRDefault="00BC3EC4" w:rsidP="00961436">
      <w:pPr>
        <w:pStyle w:val="FootnoteText"/>
        <w:rPr>
          <w:rFonts w:ascii="Times New Roman" w:hAnsi="Times New Roman" w:cs="Times New Roman"/>
        </w:rPr>
      </w:pPr>
      <w:r w:rsidRPr="009F35FF">
        <w:rPr>
          <w:rStyle w:val="FootnoteReference"/>
          <w:rFonts w:ascii="Times New Roman" w:hAnsi="Times New Roman" w:cs="Times New Roman"/>
        </w:rPr>
        <w:footnoteRef/>
      </w:r>
      <w:r w:rsidRPr="009F35FF">
        <w:rPr>
          <w:rFonts w:ascii="Times New Roman" w:hAnsi="Times New Roman" w:cs="Times New Roman"/>
        </w:rPr>
        <w:t xml:space="preserve"> Ibid., 62.</w:t>
      </w:r>
    </w:p>
  </w:footnote>
  <w:footnote w:id="162">
    <w:p w14:paraId="7FB6E378" w14:textId="77777777" w:rsidR="00BC3EC4" w:rsidRPr="009F35FF" w:rsidRDefault="00BC3EC4" w:rsidP="00961436">
      <w:pPr>
        <w:pStyle w:val="FootnoteText"/>
        <w:rPr>
          <w:rFonts w:ascii="Times New Roman" w:hAnsi="Times New Roman" w:cs="Times New Roman"/>
        </w:rPr>
      </w:pPr>
      <w:r w:rsidRPr="009F35FF">
        <w:rPr>
          <w:rStyle w:val="FootnoteReference"/>
          <w:rFonts w:ascii="Times New Roman" w:hAnsi="Times New Roman" w:cs="Times New Roman"/>
        </w:rPr>
        <w:footnoteRef/>
      </w:r>
      <w:r w:rsidRPr="009F35FF">
        <w:rPr>
          <w:rFonts w:ascii="Times New Roman" w:hAnsi="Times New Roman" w:cs="Times New Roman"/>
        </w:rPr>
        <w:t xml:space="preserve"> Ibid., 59.</w:t>
      </w:r>
    </w:p>
  </w:footnote>
  <w:footnote w:id="163">
    <w:p w14:paraId="264175CC" w14:textId="77777777" w:rsidR="00BC3EC4" w:rsidRPr="009F35FF" w:rsidRDefault="00BC3EC4" w:rsidP="00961436">
      <w:pPr>
        <w:pStyle w:val="FootnoteText"/>
        <w:rPr>
          <w:rFonts w:ascii="Times New Roman" w:hAnsi="Times New Roman" w:cs="Times New Roman"/>
        </w:rPr>
      </w:pPr>
      <w:r w:rsidRPr="009F35FF">
        <w:rPr>
          <w:rStyle w:val="FootnoteReference"/>
          <w:rFonts w:ascii="Times New Roman" w:hAnsi="Times New Roman" w:cs="Times New Roman"/>
        </w:rPr>
        <w:footnoteRef/>
      </w:r>
      <w:r w:rsidRPr="009F35FF">
        <w:rPr>
          <w:rFonts w:ascii="Times New Roman" w:hAnsi="Times New Roman" w:cs="Times New Roman"/>
        </w:rPr>
        <w:t xml:space="preserve"> </w:t>
      </w:r>
      <w:proofErr w:type="spellStart"/>
      <w:r w:rsidRPr="009F35FF">
        <w:rPr>
          <w:rFonts w:ascii="Times New Roman" w:hAnsi="Times New Roman" w:cs="Times New Roman"/>
        </w:rPr>
        <w:t>Minjung</w:t>
      </w:r>
      <w:proofErr w:type="spellEnd"/>
      <w:r w:rsidRPr="009F35FF">
        <w:rPr>
          <w:rFonts w:ascii="Times New Roman" w:hAnsi="Times New Roman" w:cs="Times New Roman"/>
        </w:rPr>
        <w:t xml:space="preserve"> is typically translated as “the people” or “the common people”. It can also be understood as “the nation”.</w:t>
      </w:r>
    </w:p>
  </w:footnote>
  <w:footnote w:id="164">
    <w:p w14:paraId="3850C8AF" w14:textId="77777777" w:rsidR="00BC3EC4" w:rsidRPr="009F35FF" w:rsidRDefault="00BC3EC4" w:rsidP="00961436">
      <w:pPr>
        <w:pStyle w:val="FootnoteText"/>
        <w:rPr>
          <w:rFonts w:ascii="Times New Roman" w:hAnsi="Times New Roman" w:cs="Times New Roman"/>
        </w:rPr>
      </w:pPr>
      <w:r w:rsidRPr="009F35FF">
        <w:rPr>
          <w:rStyle w:val="FootnoteReference"/>
          <w:rFonts w:ascii="Times New Roman" w:hAnsi="Times New Roman" w:cs="Times New Roman"/>
        </w:rPr>
        <w:footnoteRef/>
      </w:r>
      <w:r w:rsidRPr="009F35FF">
        <w:rPr>
          <w:rFonts w:ascii="Times New Roman" w:hAnsi="Times New Roman" w:cs="Times New Roman"/>
        </w:rPr>
        <w:t xml:space="preserve"> Lee, </w:t>
      </w:r>
      <w:r w:rsidRPr="009F35FF">
        <w:rPr>
          <w:rFonts w:ascii="Times New Roman" w:hAnsi="Times New Roman" w:cs="Times New Roman"/>
          <w:i/>
        </w:rPr>
        <w:t xml:space="preserve">The Making of </w:t>
      </w:r>
      <w:proofErr w:type="spellStart"/>
      <w:r w:rsidRPr="009F35FF">
        <w:rPr>
          <w:rFonts w:ascii="Times New Roman" w:hAnsi="Times New Roman" w:cs="Times New Roman"/>
          <w:i/>
        </w:rPr>
        <w:t>Minjung</w:t>
      </w:r>
      <w:proofErr w:type="spellEnd"/>
      <w:r w:rsidRPr="009F35FF">
        <w:rPr>
          <w:rFonts w:ascii="Times New Roman" w:hAnsi="Times New Roman" w:cs="Times New Roman"/>
        </w:rPr>
        <w:t>, 2.</w:t>
      </w:r>
    </w:p>
  </w:footnote>
  <w:footnote w:id="165">
    <w:p w14:paraId="0E2FB68C" w14:textId="77777777" w:rsidR="00BC3EC4" w:rsidRPr="009F35FF" w:rsidRDefault="00BC3EC4" w:rsidP="00961436">
      <w:pPr>
        <w:pStyle w:val="FootnoteText"/>
        <w:rPr>
          <w:rFonts w:ascii="Times New Roman" w:hAnsi="Times New Roman" w:cs="Times New Roman"/>
        </w:rPr>
      </w:pPr>
      <w:r w:rsidRPr="009F35FF">
        <w:rPr>
          <w:rStyle w:val="FootnoteReference"/>
          <w:rFonts w:ascii="Times New Roman" w:hAnsi="Times New Roman" w:cs="Times New Roman"/>
        </w:rPr>
        <w:footnoteRef/>
      </w:r>
      <w:r w:rsidRPr="009F35FF">
        <w:rPr>
          <w:rFonts w:ascii="Times New Roman" w:hAnsi="Times New Roman" w:cs="Times New Roman"/>
        </w:rPr>
        <w:t xml:space="preserve"> Katherine In-Young Lee, “The Drumming of Dissent during South Korea’s Democratization Movement,” </w:t>
      </w:r>
      <w:r w:rsidRPr="009F35FF">
        <w:rPr>
          <w:rFonts w:ascii="Times New Roman" w:hAnsi="Times New Roman" w:cs="Times New Roman"/>
          <w:i/>
        </w:rPr>
        <w:t>Ethnomusicology</w:t>
      </w:r>
      <w:r w:rsidRPr="009F35FF">
        <w:rPr>
          <w:rFonts w:ascii="Times New Roman" w:hAnsi="Times New Roman" w:cs="Times New Roman"/>
        </w:rPr>
        <w:t xml:space="preserve"> 56 no. 2 (2012): 180.</w:t>
      </w:r>
    </w:p>
  </w:footnote>
  <w:footnote w:id="166">
    <w:p w14:paraId="577ACB96" w14:textId="77777777" w:rsidR="00BC3EC4" w:rsidRPr="009F35FF" w:rsidRDefault="00BC3EC4" w:rsidP="00961436">
      <w:pPr>
        <w:pStyle w:val="FootnoteText"/>
        <w:rPr>
          <w:rFonts w:ascii="Times New Roman" w:hAnsi="Times New Roman" w:cs="Times New Roman"/>
        </w:rPr>
      </w:pPr>
      <w:r w:rsidRPr="009F35FF">
        <w:rPr>
          <w:rStyle w:val="FootnoteReference"/>
          <w:rFonts w:ascii="Times New Roman" w:hAnsi="Times New Roman" w:cs="Times New Roman"/>
        </w:rPr>
        <w:footnoteRef/>
      </w:r>
      <w:r w:rsidRPr="009F35FF">
        <w:rPr>
          <w:rFonts w:ascii="Times New Roman" w:hAnsi="Times New Roman" w:cs="Times New Roman"/>
        </w:rPr>
        <w:t xml:space="preserve"> Ibid., 190.</w:t>
      </w:r>
    </w:p>
  </w:footnote>
  <w:footnote w:id="167">
    <w:p w14:paraId="1CE11236" w14:textId="77777777" w:rsidR="00BC3EC4" w:rsidRPr="009F35FF" w:rsidRDefault="00BC3EC4" w:rsidP="00961436">
      <w:pPr>
        <w:pStyle w:val="FootnoteText"/>
        <w:rPr>
          <w:rFonts w:ascii="Times New Roman" w:hAnsi="Times New Roman" w:cs="Times New Roman"/>
        </w:rPr>
      </w:pPr>
      <w:r w:rsidRPr="009F35FF">
        <w:rPr>
          <w:rStyle w:val="FootnoteReference"/>
          <w:rFonts w:ascii="Times New Roman" w:hAnsi="Times New Roman" w:cs="Times New Roman"/>
        </w:rPr>
        <w:footnoteRef/>
      </w:r>
      <w:r w:rsidRPr="009F35FF">
        <w:rPr>
          <w:rFonts w:ascii="Times New Roman" w:hAnsi="Times New Roman" w:cs="Times New Roman"/>
        </w:rPr>
        <w:t xml:space="preserve"> Ibid., 184.</w:t>
      </w:r>
    </w:p>
  </w:footnote>
  <w:footnote w:id="168">
    <w:p w14:paraId="0184577F" w14:textId="77777777" w:rsidR="00BC3EC4" w:rsidRPr="009F35FF" w:rsidRDefault="00BC3EC4" w:rsidP="00961436">
      <w:pPr>
        <w:pStyle w:val="FootnoteText"/>
        <w:rPr>
          <w:rFonts w:ascii="Times New Roman" w:hAnsi="Times New Roman" w:cs="Times New Roman"/>
        </w:rPr>
      </w:pPr>
      <w:r w:rsidRPr="009F35FF">
        <w:rPr>
          <w:rStyle w:val="FootnoteReference"/>
          <w:rFonts w:ascii="Times New Roman" w:hAnsi="Times New Roman" w:cs="Times New Roman"/>
        </w:rPr>
        <w:footnoteRef/>
      </w:r>
      <w:r w:rsidRPr="009F35FF">
        <w:rPr>
          <w:rFonts w:ascii="Times New Roman" w:hAnsi="Times New Roman" w:cs="Times New Roman"/>
        </w:rPr>
        <w:t xml:space="preserve"> Ibid., 191.</w:t>
      </w:r>
    </w:p>
  </w:footnote>
  <w:footnote w:id="169">
    <w:p w14:paraId="4D1D4740" w14:textId="77777777" w:rsidR="00BC3EC4" w:rsidRPr="009F35FF" w:rsidRDefault="00BC3EC4" w:rsidP="00961436">
      <w:pPr>
        <w:pStyle w:val="FootnoteText"/>
        <w:rPr>
          <w:rFonts w:ascii="Times New Roman" w:hAnsi="Times New Roman" w:cs="Times New Roman"/>
        </w:rPr>
      </w:pPr>
      <w:r w:rsidRPr="009F35FF">
        <w:rPr>
          <w:rStyle w:val="FootnoteReference"/>
          <w:rFonts w:ascii="Times New Roman" w:hAnsi="Times New Roman" w:cs="Times New Roman"/>
        </w:rPr>
        <w:footnoteRef/>
      </w:r>
      <w:r w:rsidRPr="009F35FF">
        <w:rPr>
          <w:rFonts w:ascii="Times New Roman" w:hAnsi="Times New Roman" w:cs="Times New Roman"/>
        </w:rPr>
        <w:t xml:space="preserve"> Ibid., 194-195.</w:t>
      </w:r>
    </w:p>
  </w:footnote>
  <w:footnote w:id="170">
    <w:p w14:paraId="77435138" w14:textId="77777777" w:rsidR="00BC3EC4" w:rsidRPr="009F35FF" w:rsidRDefault="00BC3EC4" w:rsidP="00961436">
      <w:pPr>
        <w:pStyle w:val="FootnoteText"/>
        <w:rPr>
          <w:rFonts w:ascii="Times New Roman" w:hAnsi="Times New Roman" w:cs="Times New Roman"/>
        </w:rPr>
      </w:pPr>
      <w:r w:rsidRPr="009F35FF">
        <w:rPr>
          <w:rStyle w:val="FootnoteReference"/>
          <w:rFonts w:ascii="Times New Roman" w:hAnsi="Times New Roman" w:cs="Times New Roman"/>
        </w:rPr>
        <w:footnoteRef/>
      </w:r>
      <w:r w:rsidRPr="009F35FF">
        <w:rPr>
          <w:rFonts w:ascii="Times New Roman" w:hAnsi="Times New Roman" w:cs="Times New Roman"/>
        </w:rPr>
        <w:t xml:space="preserve"> Patrick </w:t>
      </w:r>
      <w:proofErr w:type="spellStart"/>
      <w:r w:rsidRPr="009F35FF">
        <w:rPr>
          <w:rFonts w:ascii="Times New Roman" w:hAnsi="Times New Roman" w:cs="Times New Roman"/>
        </w:rPr>
        <w:t>Hossay</w:t>
      </w:r>
      <w:proofErr w:type="spellEnd"/>
      <w:r w:rsidRPr="009F35FF">
        <w:rPr>
          <w:rFonts w:ascii="Times New Roman" w:hAnsi="Times New Roman" w:cs="Times New Roman"/>
        </w:rPr>
        <w:t xml:space="preserve">, “’Our People First!’ Understanding the Resonance of the </w:t>
      </w:r>
      <w:proofErr w:type="spellStart"/>
      <w:r w:rsidRPr="009F35FF">
        <w:rPr>
          <w:rFonts w:ascii="Times New Roman" w:hAnsi="Times New Roman" w:cs="Times New Roman"/>
        </w:rPr>
        <w:t>Vlaams</w:t>
      </w:r>
      <w:proofErr w:type="spellEnd"/>
      <w:r w:rsidRPr="009F35FF">
        <w:rPr>
          <w:rFonts w:ascii="Times New Roman" w:hAnsi="Times New Roman" w:cs="Times New Roman"/>
        </w:rPr>
        <w:t xml:space="preserve"> Blok’s Xenophobic </w:t>
      </w:r>
      <w:proofErr w:type="spellStart"/>
      <w:r w:rsidRPr="009F35FF">
        <w:rPr>
          <w:rFonts w:ascii="Times New Roman" w:hAnsi="Times New Roman" w:cs="Times New Roman"/>
        </w:rPr>
        <w:t>Programme</w:t>
      </w:r>
      <w:proofErr w:type="spellEnd"/>
      <w:r w:rsidRPr="009F35FF">
        <w:rPr>
          <w:rFonts w:ascii="Times New Roman" w:hAnsi="Times New Roman" w:cs="Times New Roman"/>
        </w:rPr>
        <w:t xml:space="preserve">,” </w:t>
      </w:r>
      <w:r w:rsidRPr="009F35FF">
        <w:rPr>
          <w:rFonts w:ascii="Times New Roman" w:hAnsi="Times New Roman" w:cs="Times New Roman"/>
          <w:i/>
        </w:rPr>
        <w:t>Social Identities</w:t>
      </w:r>
      <w:r w:rsidRPr="009F35FF">
        <w:rPr>
          <w:rFonts w:ascii="Times New Roman" w:hAnsi="Times New Roman" w:cs="Times New Roman"/>
        </w:rPr>
        <w:t xml:space="preserve"> 2 no. 3 (1996): </w:t>
      </w:r>
      <w:proofErr w:type="spellStart"/>
      <w:r w:rsidRPr="009F35FF">
        <w:rPr>
          <w:rFonts w:ascii="Times New Roman" w:hAnsi="Times New Roman" w:cs="Times New Roman"/>
        </w:rPr>
        <w:t>n.p</w:t>
      </w:r>
      <w:proofErr w:type="spellEnd"/>
      <w:r w:rsidRPr="009F35FF">
        <w:rPr>
          <w:rFonts w:ascii="Times New Roman" w:hAnsi="Times New Roman" w:cs="Times New Roman"/>
        </w:rPr>
        <w:t>.</w:t>
      </w:r>
    </w:p>
  </w:footnote>
  <w:footnote w:id="171">
    <w:p w14:paraId="6C8FB705" w14:textId="77777777" w:rsidR="00BC3EC4" w:rsidRPr="009F35FF" w:rsidRDefault="00BC3EC4" w:rsidP="00961436">
      <w:pPr>
        <w:pStyle w:val="FootnoteText"/>
        <w:rPr>
          <w:rFonts w:ascii="Times New Roman" w:hAnsi="Times New Roman" w:cs="Times New Roman"/>
        </w:rPr>
      </w:pPr>
      <w:r w:rsidRPr="009F35FF">
        <w:rPr>
          <w:rStyle w:val="FootnoteReference"/>
          <w:rFonts w:ascii="Times New Roman" w:hAnsi="Times New Roman" w:cs="Times New Roman"/>
        </w:rPr>
        <w:footnoteRef/>
      </w:r>
      <w:r w:rsidRPr="009F35FF">
        <w:rPr>
          <w:rFonts w:ascii="Times New Roman" w:hAnsi="Times New Roman" w:cs="Times New Roman"/>
        </w:rPr>
        <w:t xml:space="preserve"> Christophe Collard, “Bye </w:t>
      </w:r>
      <w:proofErr w:type="spellStart"/>
      <w:r w:rsidRPr="009F35FF">
        <w:rPr>
          <w:rFonts w:ascii="Times New Roman" w:hAnsi="Times New Roman" w:cs="Times New Roman"/>
        </w:rPr>
        <w:t>Bye</w:t>
      </w:r>
      <w:proofErr w:type="spellEnd"/>
      <w:r w:rsidRPr="009F35FF">
        <w:rPr>
          <w:rFonts w:ascii="Times New Roman" w:hAnsi="Times New Roman" w:cs="Times New Roman"/>
        </w:rPr>
        <w:t xml:space="preserve"> Belgium: remediating Flemish nationalism in prime time,” </w:t>
      </w:r>
      <w:r w:rsidRPr="009F35FF">
        <w:rPr>
          <w:rFonts w:ascii="Times New Roman" w:hAnsi="Times New Roman" w:cs="Times New Roman"/>
          <w:i/>
        </w:rPr>
        <w:t>Rethinking</w:t>
      </w:r>
      <w:r w:rsidRPr="009F35FF">
        <w:rPr>
          <w:rFonts w:ascii="Times New Roman" w:hAnsi="Times New Roman" w:cs="Times New Roman"/>
        </w:rPr>
        <w:t xml:space="preserve"> 18 no. 4 (2014): 544.</w:t>
      </w:r>
    </w:p>
  </w:footnote>
  <w:footnote w:id="172">
    <w:p w14:paraId="606D2763" w14:textId="77777777" w:rsidR="00BC3EC4" w:rsidRPr="009F35FF" w:rsidRDefault="00BC3EC4" w:rsidP="00961436">
      <w:pPr>
        <w:pStyle w:val="FootnoteText"/>
        <w:rPr>
          <w:rFonts w:ascii="Times New Roman" w:hAnsi="Times New Roman" w:cs="Times New Roman"/>
        </w:rPr>
      </w:pPr>
      <w:r w:rsidRPr="009F35FF">
        <w:rPr>
          <w:rStyle w:val="FootnoteReference"/>
          <w:rFonts w:ascii="Times New Roman" w:hAnsi="Times New Roman" w:cs="Times New Roman"/>
        </w:rPr>
        <w:footnoteRef/>
      </w:r>
      <w:r w:rsidRPr="009F35FF">
        <w:rPr>
          <w:rFonts w:ascii="Times New Roman" w:hAnsi="Times New Roman" w:cs="Times New Roman"/>
        </w:rPr>
        <w:t xml:space="preserve"> Cited in ibid., 545.</w:t>
      </w:r>
    </w:p>
  </w:footnote>
  <w:footnote w:id="173">
    <w:p w14:paraId="568CE272" w14:textId="77777777" w:rsidR="00BC3EC4" w:rsidRPr="009F35FF" w:rsidRDefault="00BC3EC4" w:rsidP="00961436">
      <w:pPr>
        <w:pStyle w:val="FootnoteText"/>
        <w:rPr>
          <w:rFonts w:ascii="Times New Roman" w:hAnsi="Times New Roman" w:cs="Times New Roman"/>
        </w:rPr>
      </w:pPr>
      <w:r w:rsidRPr="009F35FF">
        <w:rPr>
          <w:rStyle w:val="FootnoteReference"/>
          <w:rFonts w:ascii="Times New Roman" w:hAnsi="Times New Roman" w:cs="Times New Roman"/>
        </w:rPr>
        <w:footnoteRef/>
      </w:r>
      <w:r w:rsidRPr="009F35FF">
        <w:rPr>
          <w:rFonts w:ascii="Times New Roman" w:hAnsi="Times New Roman" w:cs="Times New Roman"/>
        </w:rPr>
        <w:t xml:space="preserve"> Hans de Witte and Bert </w:t>
      </w:r>
      <w:proofErr w:type="spellStart"/>
      <w:r w:rsidRPr="009F35FF">
        <w:rPr>
          <w:rFonts w:ascii="Times New Roman" w:hAnsi="Times New Roman" w:cs="Times New Roman"/>
        </w:rPr>
        <w:t>Kandersmans</w:t>
      </w:r>
      <w:proofErr w:type="spellEnd"/>
      <w:r w:rsidRPr="009F35FF">
        <w:rPr>
          <w:rFonts w:ascii="Times New Roman" w:hAnsi="Times New Roman" w:cs="Times New Roman"/>
        </w:rPr>
        <w:t xml:space="preserve">, “Political Racism in Flanders and the Netherlands: explaining differences in the electoral success of extreme right-wing parties,” </w:t>
      </w:r>
      <w:r w:rsidRPr="009F35FF">
        <w:rPr>
          <w:rFonts w:ascii="Times New Roman" w:hAnsi="Times New Roman" w:cs="Times New Roman"/>
          <w:i/>
        </w:rPr>
        <w:t>Journal of Ethnic and Migration Studies</w:t>
      </w:r>
      <w:r w:rsidRPr="009F35FF">
        <w:rPr>
          <w:rFonts w:ascii="Times New Roman" w:hAnsi="Times New Roman" w:cs="Times New Roman"/>
        </w:rPr>
        <w:t xml:space="preserve"> 26 no. 4 (2000): 703.</w:t>
      </w:r>
    </w:p>
  </w:footnote>
  <w:footnote w:id="174">
    <w:p w14:paraId="75D81550" w14:textId="77777777" w:rsidR="00BC3EC4" w:rsidRPr="009F35FF" w:rsidRDefault="00BC3EC4" w:rsidP="00961436">
      <w:pPr>
        <w:pStyle w:val="FootnoteText"/>
        <w:rPr>
          <w:rFonts w:ascii="Times New Roman" w:hAnsi="Times New Roman" w:cs="Times New Roman"/>
        </w:rPr>
      </w:pPr>
      <w:r w:rsidRPr="009F35FF">
        <w:rPr>
          <w:rStyle w:val="FootnoteReference"/>
          <w:rFonts w:ascii="Times New Roman" w:hAnsi="Times New Roman" w:cs="Times New Roman"/>
        </w:rPr>
        <w:footnoteRef/>
      </w:r>
      <w:r w:rsidRPr="009F35FF">
        <w:rPr>
          <w:rFonts w:ascii="Times New Roman" w:hAnsi="Times New Roman" w:cs="Times New Roman"/>
        </w:rPr>
        <w:t xml:space="preserve"> Ibid., 702.</w:t>
      </w:r>
    </w:p>
  </w:footnote>
  <w:footnote w:id="175">
    <w:p w14:paraId="7DB69F76" w14:textId="77777777" w:rsidR="00BC3EC4" w:rsidRPr="009F35FF" w:rsidRDefault="00BC3EC4" w:rsidP="00961436">
      <w:pPr>
        <w:pStyle w:val="FootnoteText"/>
        <w:rPr>
          <w:rFonts w:ascii="Times New Roman" w:hAnsi="Times New Roman" w:cs="Times New Roman"/>
        </w:rPr>
      </w:pPr>
      <w:r w:rsidRPr="009F35FF">
        <w:rPr>
          <w:rStyle w:val="FootnoteReference"/>
          <w:rFonts w:ascii="Times New Roman" w:hAnsi="Times New Roman" w:cs="Times New Roman"/>
        </w:rPr>
        <w:footnoteRef/>
      </w:r>
      <w:r w:rsidRPr="009F35FF">
        <w:rPr>
          <w:rFonts w:ascii="Times New Roman" w:hAnsi="Times New Roman" w:cs="Times New Roman"/>
        </w:rPr>
        <w:t xml:space="preserve"> </w:t>
      </w:r>
      <w:proofErr w:type="spellStart"/>
      <w:r w:rsidRPr="009F35FF">
        <w:rPr>
          <w:rFonts w:ascii="Times New Roman" w:hAnsi="Times New Roman" w:cs="Times New Roman"/>
        </w:rPr>
        <w:t>Hossay</w:t>
      </w:r>
      <w:proofErr w:type="spellEnd"/>
      <w:r w:rsidRPr="009F35FF">
        <w:rPr>
          <w:rFonts w:ascii="Times New Roman" w:hAnsi="Times New Roman" w:cs="Times New Roman"/>
        </w:rPr>
        <w:t xml:space="preserve">, “Our People First!” </w:t>
      </w:r>
      <w:proofErr w:type="spellStart"/>
      <w:r w:rsidRPr="009F35FF">
        <w:rPr>
          <w:rFonts w:ascii="Times New Roman" w:hAnsi="Times New Roman" w:cs="Times New Roman"/>
        </w:rPr>
        <w:t>n.p</w:t>
      </w:r>
      <w:proofErr w:type="spellEnd"/>
      <w:r w:rsidRPr="009F35FF">
        <w:rPr>
          <w:rFonts w:ascii="Times New Roman" w:hAnsi="Times New Roman" w:cs="Times New Roman"/>
        </w:rPr>
        <w:t>.</w:t>
      </w:r>
    </w:p>
  </w:footnote>
  <w:footnote w:id="176">
    <w:p w14:paraId="36E7C4BD" w14:textId="77777777" w:rsidR="00BC3EC4" w:rsidRPr="009F35FF" w:rsidRDefault="00BC3EC4" w:rsidP="00961436">
      <w:pPr>
        <w:pStyle w:val="FootnoteText"/>
        <w:rPr>
          <w:rFonts w:ascii="Times New Roman" w:hAnsi="Times New Roman" w:cs="Times New Roman"/>
        </w:rPr>
      </w:pPr>
      <w:r w:rsidRPr="009F35FF">
        <w:rPr>
          <w:rStyle w:val="FootnoteReference"/>
          <w:rFonts w:ascii="Times New Roman" w:hAnsi="Times New Roman" w:cs="Times New Roman"/>
        </w:rPr>
        <w:footnoteRef/>
      </w:r>
      <w:r w:rsidRPr="009F35FF">
        <w:rPr>
          <w:rFonts w:ascii="Times New Roman" w:hAnsi="Times New Roman" w:cs="Times New Roman"/>
        </w:rPr>
        <w:t xml:space="preserve"> Hans de Witte, “Extreme right-wing activism in the Flemish part of Belgium: Manifestation of racism or nationalism?” in </w:t>
      </w:r>
      <w:r w:rsidRPr="009F35FF">
        <w:rPr>
          <w:rFonts w:ascii="Times New Roman" w:hAnsi="Times New Roman" w:cs="Times New Roman"/>
          <w:i/>
        </w:rPr>
        <w:t>Extreme Right Activists in Europe: Through the Magnifying Glass</w:t>
      </w:r>
      <w:r w:rsidRPr="009F35FF">
        <w:rPr>
          <w:rFonts w:ascii="Times New Roman" w:hAnsi="Times New Roman" w:cs="Times New Roman"/>
        </w:rPr>
        <w:t xml:space="preserve"> eds. Bert </w:t>
      </w:r>
      <w:proofErr w:type="spellStart"/>
      <w:r w:rsidRPr="009F35FF">
        <w:rPr>
          <w:rFonts w:ascii="Times New Roman" w:hAnsi="Times New Roman" w:cs="Times New Roman"/>
        </w:rPr>
        <w:t>Klandersmans</w:t>
      </w:r>
      <w:proofErr w:type="spellEnd"/>
      <w:r w:rsidRPr="009F35FF">
        <w:rPr>
          <w:rFonts w:ascii="Times New Roman" w:hAnsi="Times New Roman" w:cs="Times New Roman"/>
        </w:rPr>
        <w:t xml:space="preserve"> and Monna Mayer (London: Routledge, 2006), 182.</w:t>
      </w:r>
    </w:p>
  </w:footnote>
  <w:footnote w:id="177">
    <w:p w14:paraId="2A348276" w14:textId="77777777" w:rsidR="00BC3EC4" w:rsidRPr="009F35FF" w:rsidRDefault="00BC3EC4" w:rsidP="00961436">
      <w:pPr>
        <w:pStyle w:val="FootnoteText"/>
        <w:rPr>
          <w:rFonts w:ascii="Times New Roman" w:hAnsi="Times New Roman" w:cs="Times New Roman"/>
        </w:rPr>
      </w:pPr>
      <w:r w:rsidRPr="009F35FF">
        <w:rPr>
          <w:rStyle w:val="FootnoteReference"/>
          <w:rFonts w:ascii="Times New Roman" w:hAnsi="Times New Roman" w:cs="Times New Roman"/>
        </w:rPr>
        <w:footnoteRef/>
      </w:r>
      <w:r w:rsidRPr="009F35FF">
        <w:rPr>
          <w:rFonts w:ascii="Times New Roman" w:hAnsi="Times New Roman" w:cs="Times New Roman"/>
        </w:rPr>
        <w:t xml:space="preserve"> Cecil </w:t>
      </w:r>
      <w:proofErr w:type="spellStart"/>
      <w:r w:rsidRPr="009F35FF">
        <w:rPr>
          <w:rFonts w:ascii="Times New Roman" w:hAnsi="Times New Roman" w:cs="Times New Roman"/>
        </w:rPr>
        <w:t>Meeusen</w:t>
      </w:r>
      <w:proofErr w:type="spellEnd"/>
      <w:r w:rsidRPr="009F35FF">
        <w:rPr>
          <w:rFonts w:ascii="Times New Roman" w:hAnsi="Times New Roman" w:cs="Times New Roman"/>
        </w:rPr>
        <w:t xml:space="preserve">, </w:t>
      </w:r>
      <w:proofErr w:type="spellStart"/>
      <w:r w:rsidRPr="009F35FF">
        <w:rPr>
          <w:rFonts w:ascii="Times New Roman" w:hAnsi="Times New Roman" w:cs="Times New Roman"/>
        </w:rPr>
        <w:t>Joris</w:t>
      </w:r>
      <w:proofErr w:type="spellEnd"/>
      <w:r w:rsidRPr="009F35FF">
        <w:rPr>
          <w:rFonts w:ascii="Times New Roman" w:hAnsi="Times New Roman" w:cs="Times New Roman"/>
        </w:rPr>
        <w:t xml:space="preserve"> Boonen, and Ruther </w:t>
      </w:r>
      <w:proofErr w:type="spellStart"/>
      <w:r w:rsidRPr="009F35FF">
        <w:rPr>
          <w:rFonts w:ascii="Times New Roman" w:hAnsi="Times New Roman" w:cs="Times New Roman"/>
        </w:rPr>
        <w:t>Dassonneville</w:t>
      </w:r>
      <w:proofErr w:type="spellEnd"/>
      <w:r w:rsidRPr="009F35FF">
        <w:rPr>
          <w:rFonts w:ascii="Times New Roman" w:hAnsi="Times New Roman" w:cs="Times New Roman"/>
        </w:rPr>
        <w:t xml:space="preserve">, “The Structure of Prejudice and Its Relation to Party Preference in Belgium: Flanders and Wallonia Compared,” </w:t>
      </w:r>
      <w:proofErr w:type="spellStart"/>
      <w:r w:rsidRPr="009F35FF">
        <w:rPr>
          <w:rFonts w:ascii="Times New Roman" w:hAnsi="Times New Roman" w:cs="Times New Roman"/>
          <w:i/>
        </w:rPr>
        <w:t>Psycologica</w:t>
      </w:r>
      <w:proofErr w:type="spellEnd"/>
      <w:r w:rsidRPr="009F35FF">
        <w:rPr>
          <w:rFonts w:ascii="Times New Roman" w:hAnsi="Times New Roman" w:cs="Times New Roman"/>
          <w:i/>
        </w:rPr>
        <w:t xml:space="preserve"> </w:t>
      </w:r>
      <w:proofErr w:type="spellStart"/>
      <w:r w:rsidRPr="009F35FF">
        <w:rPr>
          <w:rFonts w:ascii="Times New Roman" w:hAnsi="Times New Roman" w:cs="Times New Roman"/>
          <w:i/>
        </w:rPr>
        <w:t>Belgica</w:t>
      </w:r>
      <w:proofErr w:type="spellEnd"/>
      <w:r w:rsidRPr="009F35FF">
        <w:rPr>
          <w:rFonts w:ascii="Times New Roman" w:hAnsi="Times New Roman" w:cs="Times New Roman"/>
        </w:rPr>
        <w:t xml:space="preserve"> 57 no. 3 (2017): 56. </w:t>
      </w:r>
    </w:p>
  </w:footnote>
  <w:footnote w:id="178">
    <w:p w14:paraId="3B7DBFEF" w14:textId="77777777" w:rsidR="00BC3EC4" w:rsidRPr="009F35FF" w:rsidRDefault="00BC3EC4" w:rsidP="00961436">
      <w:pPr>
        <w:pStyle w:val="FootnoteText"/>
        <w:rPr>
          <w:rFonts w:ascii="Times New Roman" w:hAnsi="Times New Roman" w:cs="Times New Roman"/>
        </w:rPr>
      </w:pPr>
      <w:r w:rsidRPr="009F35FF">
        <w:rPr>
          <w:rStyle w:val="FootnoteReference"/>
          <w:rFonts w:ascii="Times New Roman" w:hAnsi="Times New Roman" w:cs="Times New Roman"/>
        </w:rPr>
        <w:footnoteRef/>
      </w:r>
      <w:r w:rsidRPr="009F35FF">
        <w:rPr>
          <w:rFonts w:ascii="Times New Roman" w:hAnsi="Times New Roman" w:cs="Times New Roman"/>
        </w:rPr>
        <w:t xml:space="preserve"> </w:t>
      </w:r>
      <w:proofErr w:type="spellStart"/>
      <w:r w:rsidRPr="009F35FF">
        <w:rPr>
          <w:rFonts w:ascii="Times New Roman" w:hAnsi="Times New Roman" w:cs="Times New Roman"/>
        </w:rPr>
        <w:t>Mughan</w:t>
      </w:r>
      <w:proofErr w:type="spellEnd"/>
      <w:r w:rsidRPr="009F35FF">
        <w:rPr>
          <w:rFonts w:ascii="Times New Roman" w:hAnsi="Times New Roman" w:cs="Times New Roman"/>
        </w:rPr>
        <w:t xml:space="preserve">, </w:t>
      </w:r>
      <w:r w:rsidRPr="009F35FF">
        <w:rPr>
          <w:rFonts w:ascii="Times New Roman" w:hAnsi="Times New Roman" w:cs="Times New Roman"/>
          <w:i/>
        </w:rPr>
        <w:t>Modernization and Ethnic Conflict</w:t>
      </w:r>
      <w:r w:rsidRPr="009F35FF">
        <w:rPr>
          <w:rFonts w:ascii="Times New Roman" w:hAnsi="Times New Roman" w:cs="Times New Roman"/>
        </w:rPr>
        <w:t>, 26.</w:t>
      </w:r>
    </w:p>
  </w:footnote>
  <w:footnote w:id="179">
    <w:p w14:paraId="62391036" w14:textId="77777777" w:rsidR="00BC3EC4" w:rsidRDefault="00BC3EC4" w:rsidP="00961436">
      <w:pPr>
        <w:pStyle w:val="FootnoteText"/>
      </w:pPr>
      <w:r w:rsidRPr="009F35FF">
        <w:rPr>
          <w:rStyle w:val="FootnoteReference"/>
          <w:rFonts w:ascii="Times New Roman" w:hAnsi="Times New Roman" w:cs="Times New Roman"/>
        </w:rPr>
        <w:footnoteRef/>
      </w:r>
      <w:r w:rsidRPr="009F35FF">
        <w:rPr>
          <w:rFonts w:ascii="Times New Roman" w:hAnsi="Times New Roman" w:cs="Times New Roman"/>
        </w:rPr>
        <w:t xml:space="preserve"> Maarten Van </w:t>
      </w:r>
      <w:proofErr w:type="spellStart"/>
      <w:r w:rsidRPr="009F35FF">
        <w:rPr>
          <w:rFonts w:ascii="Times New Roman" w:hAnsi="Times New Roman" w:cs="Times New Roman"/>
        </w:rPr>
        <w:t>Ginderachter</w:t>
      </w:r>
      <w:proofErr w:type="spellEnd"/>
      <w:r w:rsidRPr="009F35FF">
        <w:rPr>
          <w:rFonts w:ascii="Times New Roman" w:hAnsi="Times New Roman" w:cs="Times New Roman"/>
        </w:rPr>
        <w:t xml:space="preserve"> and </w:t>
      </w:r>
      <w:proofErr w:type="spellStart"/>
      <w:r w:rsidRPr="009F35FF">
        <w:rPr>
          <w:rFonts w:ascii="Times New Roman" w:hAnsi="Times New Roman" w:cs="Times New Roman"/>
        </w:rPr>
        <w:t>Joep</w:t>
      </w:r>
      <w:proofErr w:type="spellEnd"/>
      <w:r w:rsidRPr="009F35FF">
        <w:rPr>
          <w:rFonts w:ascii="Times New Roman" w:hAnsi="Times New Roman" w:cs="Times New Roman"/>
        </w:rPr>
        <w:t xml:space="preserve"> </w:t>
      </w:r>
      <w:proofErr w:type="spellStart"/>
      <w:r w:rsidRPr="009F35FF">
        <w:rPr>
          <w:rFonts w:ascii="Times New Roman" w:hAnsi="Times New Roman" w:cs="Times New Roman"/>
        </w:rPr>
        <w:t>Leerssen</w:t>
      </w:r>
      <w:proofErr w:type="spellEnd"/>
      <w:r w:rsidRPr="009F35FF">
        <w:rPr>
          <w:rFonts w:ascii="Times New Roman" w:hAnsi="Times New Roman" w:cs="Times New Roman"/>
        </w:rPr>
        <w:t xml:space="preserve">, “Denied </w:t>
      </w:r>
      <w:proofErr w:type="spellStart"/>
      <w:r w:rsidRPr="009F35FF">
        <w:rPr>
          <w:rFonts w:ascii="Times New Roman" w:hAnsi="Times New Roman" w:cs="Times New Roman"/>
        </w:rPr>
        <w:t>ethnicism</w:t>
      </w:r>
      <w:proofErr w:type="spellEnd"/>
      <w:r w:rsidRPr="009F35FF">
        <w:rPr>
          <w:rFonts w:ascii="Times New Roman" w:hAnsi="Times New Roman" w:cs="Times New Roman"/>
        </w:rPr>
        <w:t xml:space="preserve">: on the Walloon movement in Belgium,” </w:t>
      </w:r>
      <w:r w:rsidRPr="009F35FF">
        <w:rPr>
          <w:rFonts w:ascii="Times New Roman" w:hAnsi="Times New Roman" w:cs="Times New Roman"/>
          <w:i/>
        </w:rPr>
        <w:t>Nations and Nationalism</w:t>
      </w:r>
      <w:r w:rsidRPr="009F35FF">
        <w:rPr>
          <w:rFonts w:ascii="Times New Roman" w:hAnsi="Times New Roman" w:cs="Times New Roman"/>
        </w:rPr>
        <w:t xml:space="preserve"> 18 no. 2 (2012): 234.</w:t>
      </w:r>
    </w:p>
  </w:footnote>
  <w:footnote w:id="180">
    <w:p w14:paraId="422FC008" w14:textId="77777777" w:rsidR="00BC3EC4" w:rsidRPr="00FD28D5" w:rsidRDefault="00BC3EC4" w:rsidP="00961436">
      <w:pPr>
        <w:pStyle w:val="FootnoteText"/>
        <w:rPr>
          <w:rFonts w:ascii="Times New Roman" w:hAnsi="Times New Roman" w:cs="Times New Roman"/>
        </w:rPr>
      </w:pPr>
      <w:r w:rsidRPr="00890B68">
        <w:rPr>
          <w:rStyle w:val="FootnoteReference"/>
          <w:rFonts w:ascii="Times New Roman" w:hAnsi="Times New Roman" w:cs="Times New Roman"/>
        </w:rPr>
        <w:footnoteRef/>
      </w:r>
      <w:r>
        <w:rPr>
          <w:rFonts w:ascii="Times New Roman" w:hAnsi="Times New Roman" w:cs="Times New Roman"/>
        </w:rPr>
        <w:t xml:space="preserve"> Benedict Anderson, </w:t>
      </w:r>
      <w:r>
        <w:rPr>
          <w:rFonts w:ascii="Times New Roman" w:hAnsi="Times New Roman" w:cs="Times New Roman"/>
          <w:i/>
        </w:rPr>
        <w:t>Imagine Communities: Reflections on the Origin and Spread of Nationalism</w:t>
      </w:r>
      <w:r>
        <w:rPr>
          <w:rFonts w:ascii="Times New Roman" w:hAnsi="Times New Roman" w:cs="Times New Roman"/>
        </w:rPr>
        <w:t xml:space="preserve"> (New York: Verso, 2016), 194-195.</w:t>
      </w:r>
    </w:p>
  </w:footnote>
  <w:footnote w:id="181">
    <w:p w14:paraId="3CE6D9A2" w14:textId="77777777" w:rsidR="00BC3EC4" w:rsidRDefault="00BC3EC4" w:rsidP="00961436">
      <w:pPr>
        <w:pStyle w:val="FootnoteText"/>
      </w:pPr>
      <w:r w:rsidRPr="00890B68">
        <w:rPr>
          <w:rStyle w:val="FootnoteReference"/>
          <w:rFonts w:ascii="Times New Roman" w:hAnsi="Times New Roman" w:cs="Times New Roman"/>
        </w:rPr>
        <w:footnoteRef/>
      </w:r>
      <w:r w:rsidRPr="00890B68">
        <w:rPr>
          <w:rFonts w:ascii="Times New Roman" w:hAnsi="Times New Roman" w:cs="Times New Roman"/>
        </w:rPr>
        <w:t xml:space="preserve"> Clifford Geertz, </w:t>
      </w:r>
      <w:r w:rsidRPr="00A24F2B">
        <w:rPr>
          <w:rFonts w:ascii="Times New Roman" w:hAnsi="Times New Roman" w:cs="Times New Roman"/>
          <w:i/>
        </w:rPr>
        <w:t>The Interpretation of Cultures: Selected Essays</w:t>
      </w:r>
      <w:r w:rsidRPr="00890B68">
        <w:rPr>
          <w:rFonts w:ascii="Times New Roman" w:hAnsi="Times New Roman" w:cs="Times New Roman"/>
        </w:rPr>
        <w:t xml:space="preserve"> (New York: Basic Books, 1973), 52.</w:t>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9A4040" w14:textId="77777777" w:rsidR="00BC3EC4" w:rsidRDefault="00BC3EC4" w:rsidP="00BC3EC4">
    <w:pPr>
      <w:pStyle w:val="Head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5CB9D12B" w14:textId="77777777" w:rsidR="00BC3EC4" w:rsidRDefault="00BC3EC4" w:rsidP="0072543A">
    <w:pPr>
      <w:pStyle w:val="Header"/>
      <w:ind w:right="360"/>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88F1AFF" w14:textId="05817D8D" w:rsidR="00BC3EC4" w:rsidRDefault="00BC3EC4" w:rsidP="00BC3EC4">
    <w:pPr>
      <w:pStyle w:val="Header"/>
      <w:framePr w:wrap="none" w:vAnchor="text" w:hAnchor="margin" w:xAlign="right" w:y="1"/>
      <w:rPr>
        <w:rStyle w:val="PageNumber"/>
      </w:rPr>
    </w:pPr>
    <w:r>
      <w:rPr>
        <w:rStyle w:val="PageNumber"/>
      </w:rPr>
      <w:t xml:space="preserve">Lant </w:t>
    </w:r>
    <w:r>
      <w:rPr>
        <w:rStyle w:val="PageNumber"/>
      </w:rPr>
      <w:fldChar w:fldCharType="begin"/>
    </w:r>
    <w:r>
      <w:rPr>
        <w:rStyle w:val="PageNumber"/>
      </w:rPr>
      <w:instrText xml:space="preserve">PAGE  </w:instrText>
    </w:r>
    <w:r>
      <w:rPr>
        <w:rStyle w:val="PageNumber"/>
      </w:rPr>
      <w:fldChar w:fldCharType="separate"/>
    </w:r>
    <w:r w:rsidR="00B91B87">
      <w:rPr>
        <w:rStyle w:val="PageNumber"/>
        <w:noProof/>
      </w:rPr>
      <w:t>2</w:t>
    </w:r>
    <w:r>
      <w:rPr>
        <w:rStyle w:val="PageNumber"/>
      </w:rPr>
      <w:fldChar w:fldCharType="end"/>
    </w:r>
  </w:p>
  <w:p w14:paraId="7C3F0426" w14:textId="77777777" w:rsidR="00BC3EC4" w:rsidRDefault="00BC3EC4" w:rsidP="0072543A">
    <w:pPr>
      <w:pStyle w:val="Header"/>
      <w:ind w:right="36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61436"/>
    <w:rsid w:val="00024A52"/>
    <w:rsid w:val="00043C7B"/>
    <w:rsid w:val="000963C3"/>
    <w:rsid w:val="000F2E24"/>
    <w:rsid w:val="0010554A"/>
    <w:rsid w:val="00125740"/>
    <w:rsid w:val="001511B1"/>
    <w:rsid w:val="00175A71"/>
    <w:rsid w:val="00196840"/>
    <w:rsid w:val="001A0D87"/>
    <w:rsid w:val="00210EC9"/>
    <w:rsid w:val="0025220A"/>
    <w:rsid w:val="00280C35"/>
    <w:rsid w:val="002B1072"/>
    <w:rsid w:val="002F1831"/>
    <w:rsid w:val="00305E7B"/>
    <w:rsid w:val="00313128"/>
    <w:rsid w:val="00314226"/>
    <w:rsid w:val="00361E81"/>
    <w:rsid w:val="003652D8"/>
    <w:rsid w:val="003A0704"/>
    <w:rsid w:val="003B1C74"/>
    <w:rsid w:val="003D7966"/>
    <w:rsid w:val="0043304B"/>
    <w:rsid w:val="004340A3"/>
    <w:rsid w:val="004363A9"/>
    <w:rsid w:val="00440071"/>
    <w:rsid w:val="004610CB"/>
    <w:rsid w:val="004651A4"/>
    <w:rsid w:val="00481DC6"/>
    <w:rsid w:val="004B5393"/>
    <w:rsid w:val="004C3540"/>
    <w:rsid w:val="004C6371"/>
    <w:rsid w:val="004F00CC"/>
    <w:rsid w:val="004F582A"/>
    <w:rsid w:val="00502EBF"/>
    <w:rsid w:val="0050629A"/>
    <w:rsid w:val="00532505"/>
    <w:rsid w:val="00551DD8"/>
    <w:rsid w:val="005733CC"/>
    <w:rsid w:val="00597FEC"/>
    <w:rsid w:val="005A77C7"/>
    <w:rsid w:val="005B1B4D"/>
    <w:rsid w:val="005D2ADF"/>
    <w:rsid w:val="005F4A01"/>
    <w:rsid w:val="00603229"/>
    <w:rsid w:val="00605F71"/>
    <w:rsid w:val="00607366"/>
    <w:rsid w:val="006C25FC"/>
    <w:rsid w:val="006D62F9"/>
    <w:rsid w:val="006E5E44"/>
    <w:rsid w:val="00706487"/>
    <w:rsid w:val="0072543A"/>
    <w:rsid w:val="00725FB0"/>
    <w:rsid w:val="00731A86"/>
    <w:rsid w:val="00746620"/>
    <w:rsid w:val="007603CF"/>
    <w:rsid w:val="00776074"/>
    <w:rsid w:val="007811DD"/>
    <w:rsid w:val="007835FF"/>
    <w:rsid w:val="007A078A"/>
    <w:rsid w:val="00801940"/>
    <w:rsid w:val="008138D4"/>
    <w:rsid w:val="00844551"/>
    <w:rsid w:val="00863AC4"/>
    <w:rsid w:val="0086565A"/>
    <w:rsid w:val="008B4124"/>
    <w:rsid w:val="008B4EC6"/>
    <w:rsid w:val="008D28F1"/>
    <w:rsid w:val="00902074"/>
    <w:rsid w:val="009066C7"/>
    <w:rsid w:val="00921E06"/>
    <w:rsid w:val="00935D01"/>
    <w:rsid w:val="00940310"/>
    <w:rsid w:val="00961436"/>
    <w:rsid w:val="0097326E"/>
    <w:rsid w:val="009A4F49"/>
    <w:rsid w:val="009C4FA7"/>
    <w:rsid w:val="009C5363"/>
    <w:rsid w:val="00A03A9F"/>
    <w:rsid w:val="00A03C3C"/>
    <w:rsid w:val="00A17789"/>
    <w:rsid w:val="00A21EB1"/>
    <w:rsid w:val="00A742FF"/>
    <w:rsid w:val="00A847E7"/>
    <w:rsid w:val="00AA0B29"/>
    <w:rsid w:val="00AE673E"/>
    <w:rsid w:val="00B45AAA"/>
    <w:rsid w:val="00B91B87"/>
    <w:rsid w:val="00BA67F6"/>
    <w:rsid w:val="00BC3EC4"/>
    <w:rsid w:val="00BF1726"/>
    <w:rsid w:val="00C81DE3"/>
    <w:rsid w:val="00C95363"/>
    <w:rsid w:val="00CA419C"/>
    <w:rsid w:val="00CC2C87"/>
    <w:rsid w:val="00CE092D"/>
    <w:rsid w:val="00CF4860"/>
    <w:rsid w:val="00D0784D"/>
    <w:rsid w:val="00D56C83"/>
    <w:rsid w:val="00D61F6D"/>
    <w:rsid w:val="00D627D7"/>
    <w:rsid w:val="00D640E0"/>
    <w:rsid w:val="00D70AF8"/>
    <w:rsid w:val="00D8562C"/>
    <w:rsid w:val="00D935C2"/>
    <w:rsid w:val="00DE6561"/>
    <w:rsid w:val="00E01CFF"/>
    <w:rsid w:val="00E610CA"/>
    <w:rsid w:val="00E63F2C"/>
    <w:rsid w:val="00E91B4F"/>
    <w:rsid w:val="00E91E41"/>
    <w:rsid w:val="00EA7DC6"/>
    <w:rsid w:val="00ED35E8"/>
    <w:rsid w:val="00F23E30"/>
    <w:rsid w:val="00F25E8B"/>
    <w:rsid w:val="00F36F75"/>
    <w:rsid w:val="00F42BB2"/>
    <w:rsid w:val="00F71061"/>
    <w:rsid w:val="00FA6CBB"/>
  </w:rsids>
  <m:mathPr>
    <m:mathFont m:val="Cambria Math"/>
    <m:brkBin m:val="before"/>
    <m:brkBinSub m:val="--"/>
    <m:smallFrac m:val="0"/>
    <m:dispDef/>
    <m:lMargin m:val="0"/>
    <m:rMargin m:val="0"/>
    <m:defJc m:val="centerGroup"/>
    <m:wrapIndent m:val="1440"/>
    <m:intLim m:val="subSup"/>
    <m:naryLim m:val="undOvr"/>
  </m:mathPr>
  <w:themeFontLang w:val="en-US" w:eastAsia="x-none" w:bidi="x-none"/>
  <w:clrSchemeMapping w:bg1="light1" w:t1="dark1" w:bg2="light2" w:t2="dark2" w:accent1="accent1" w:accent2="accent2" w:accent3="accent3" w:accent4="accent4" w:accent5="accent5" w:accent6="accent6" w:hyperlink="hyperlink" w:followedHyperlink="followedHyperlink"/>
  <w:decimalSymbol w:val="."/>
  <w:listSeparator w:val=","/>
  <w14:docId w14:val="6F312F92"/>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961436"/>
    <w:rPr>
      <w:rFonts w:ascii="Times New Roman" w:hAnsi="Times New Roman"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961436"/>
    <w:rPr>
      <w:rFonts w:asciiTheme="minorHAnsi" w:hAnsiTheme="minorHAnsi" w:cstheme="minorBidi"/>
    </w:rPr>
  </w:style>
  <w:style w:type="character" w:customStyle="1" w:styleId="FootnoteTextChar">
    <w:name w:val="Footnote Text Char"/>
    <w:basedOn w:val="DefaultParagraphFont"/>
    <w:link w:val="FootnoteText"/>
    <w:uiPriority w:val="99"/>
    <w:rsid w:val="00961436"/>
  </w:style>
  <w:style w:type="character" w:styleId="FootnoteReference">
    <w:name w:val="footnote reference"/>
    <w:basedOn w:val="DefaultParagraphFont"/>
    <w:uiPriority w:val="99"/>
    <w:unhideWhenUsed/>
    <w:rsid w:val="00961436"/>
    <w:rPr>
      <w:vertAlign w:val="superscript"/>
    </w:rPr>
  </w:style>
  <w:style w:type="paragraph" w:styleId="Header">
    <w:name w:val="header"/>
    <w:basedOn w:val="Normal"/>
    <w:link w:val="HeaderChar"/>
    <w:uiPriority w:val="99"/>
    <w:unhideWhenUsed/>
    <w:rsid w:val="0072543A"/>
    <w:pPr>
      <w:tabs>
        <w:tab w:val="center" w:pos="4680"/>
        <w:tab w:val="right" w:pos="9360"/>
      </w:tabs>
    </w:pPr>
  </w:style>
  <w:style w:type="character" w:customStyle="1" w:styleId="HeaderChar">
    <w:name w:val="Header Char"/>
    <w:basedOn w:val="DefaultParagraphFont"/>
    <w:link w:val="Header"/>
    <w:uiPriority w:val="99"/>
    <w:rsid w:val="0072543A"/>
    <w:rPr>
      <w:rFonts w:ascii="Times New Roman" w:hAnsi="Times New Roman" w:cs="Times New Roman"/>
    </w:rPr>
  </w:style>
  <w:style w:type="character" w:styleId="PageNumber">
    <w:name w:val="page number"/>
    <w:basedOn w:val="DefaultParagraphFont"/>
    <w:uiPriority w:val="99"/>
    <w:semiHidden/>
    <w:unhideWhenUsed/>
    <w:rsid w:val="0072543A"/>
  </w:style>
  <w:style w:type="paragraph" w:styleId="Footer">
    <w:name w:val="footer"/>
    <w:basedOn w:val="Normal"/>
    <w:link w:val="FooterChar"/>
    <w:uiPriority w:val="99"/>
    <w:unhideWhenUsed/>
    <w:rsid w:val="0072543A"/>
    <w:pPr>
      <w:tabs>
        <w:tab w:val="center" w:pos="4680"/>
        <w:tab w:val="right" w:pos="9360"/>
      </w:tabs>
    </w:pPr>
  </w:style>
  <w:style w:type="character" w:customStyle="1" w:styleId="FooterChar">
    <w:name w:val="Footer Char"/>
    <w:basedOn w:val="DefaultParagraphFont"/>
    <w:link w:val="Footer"/>
    <w:uiPriority w:val="99"/>
    <w:rsid w:val="0072543A"/>
    <w:rPr>
      <w:rFonts w:ascii="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doNotSaveAsSingleFile/>
  <w:pixelsPerInch w:val="96"/>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header" Target="header1.xml"/><Relationship Id="rId8" Type="http://schemas.openxmlformats.org/officeDocument/2006/relationships/header" Target="header2.xml"/><Relationship Id="rId9" Type="http://schemas.openxmlformats.org/officeDocument/2006/relationships/fontTable" Target="fontTable.xml"/><Relationship Id="rId10"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34E16467-3583-C949-A1CB-3E0613B87D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85</Pages>
  <Words>22196</Words>
  <Characters>126521</Characters>
  <Application>Microsoft Macintosh Word</Application>
  <DocSecurity>0</DocSecurity>
  <Lines>1054</Lines>
  <Paragraphs>296</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148421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2</cp:revision>
  <dcterms:created xsi:type="dcterms:W3CDTF">2018-05-08T15:11:00Z</dcterms:created>
  <dcterms:modified xsi:type="dcterms:W3CDTF">2018-05-08T15:11:00Z</dcterms:modified>
</cp:coreProperties>
</file>